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42" w:rsidRPr="00F72A45" w:rsidRDefault="00780042" w:rsidP="00780042">
      <w:pPr>
        <w:widowControl/>
        <w:snapToGrid w:val="0"/>
        <w:spacing w:line="360" w:lineRule="auto"/>
        <w:rPr>
          <w:rFonts w:ascii="宋体" w:hAnsi="宋体" w:hint="eastAsia"/>
          <w:b/>
          <w:sz w:val="24"/>
        </w:rPr>
      </w:pPr>
      <w:r w:rsidRPr="00F72A45">
        <w:rPr>
          <w:rFonts w:ascii="宋体" w:hAnsi="宋体" w:hint="eastAsia"/>
          <w:b/>
          <w:sz w:val="24"/>
        </w:rPr>
        <w:t>一、 工作条件</w:t>
      </w:r>
    </w:p>
    <w:p w:rsidR="00780042" w:rsidRPr="00F72A45" w:rsidRDefault="00780042" w:rsidP="00780042">
      <w:pPr>
        <w:widowControl/>
        <w:numPr>
          <w:ilvl w:val="0"/>
          <w:numId w:val="1"/>
        </w:numPr>
        <w:tabs>
          <w:tab w:val="left" w:pos="720"/>
        </w:tabs>
        <w:snapToGrid w:val="0"/>
        <w:spacing w:line="360" w:lineRule="auto"/>
        <w:ind w:left="425"/>
        <w:rPr>
          <w:rFonts w:ascii="宋体" w:hAnsi="宋体" w:hint="eastAsia"/>
          <w:sz w:val="24"/>
        </w:rPr>
      </w:pPr>
      <w:r w:rsidRPr="00F72A45">
        <w:rPr>
          <w:rFonts w:ascii="宋体" w:hAnsi="宋体" w:hint="eastAsia"/>
          <w:sz w:val="24"/>
        </w:rPr>
        <w:t>电源：220V</w:t>
      </w:r>
    </w:p>
    <w:p w:rsidR="00780042" w:rsidRPr="00F72A45" w:rsidRDefault="00780042" w:rsidP="00780042">
      <w:pPr>
        <w:widowControl/>
        <w:numPr>
          <w:ilvl w:val="0"/>
          <w:numId w:val="1"/>
        </w:numPr>
        <w:tabs>
          <w:tab w:val="left" w:pos="720"/>
        </w:tabs>
        <w:snapToGrid w:val="0"/>
        <w:spacing w:line="360" w:lineRule="auto"/>
        <w:ind w:left="425"/>
        <w:rPr>
          <w:rFonts w:ascii="宋体" w:hAnsi="宋体" w:hint="eastAsia"/>
          <w:sz w:val="24"/>
        </w:rPr>
      </w:pPr>
      <w:r w:rsidRPr="00F72A45">
        <w:rPr>
          <w:rFonts w:ascii="宋体" w:hAnsi="宋体" w:hint="eastAsia"/>
          <w:sz w:val="24"/>
        </w:rPr>
        <w:t>环境温度：10℃～30℃；</w:t>
      </w:r>
    </w:p>
    <w:p w:rsidR="00780042" w:rsidRPr="00F72A45" w:rsidRDefault="00780042" w:rsidP="00780042">
      <w:pPr>
        <w:widowControl/>
        <w:numPr>
          <w:ilvl w:val="0"/>
          <w:numId w:val="1"/>
        </w:numPr>
        <w:tabs>
          <w:tab w:val="left" w:pos="720"/>
        </w:tabs>
        <w:snapToGrid w:val="0"/>
        <w:spacing w:line="360" w:lineRule="auto"/>
        <w:ind w:left="425"/>
        <w:rPr>
          <w:rFonts w:ascii="宋体" w:hAnsi="宋体" w:hint="eastAsia"/>
          <w:sz w:val="24"/>
        </w:rPr>
      </w:pPr>
      <w:r w:rsidRPr="00F72A45">
        <w:rPr>
          <w:rFonts w:ascii="宋体" w:hAnsi="宋体" w:hint="eastAsia"/>
          <w:sz w:val="24"/>
        </w:rPr>
        <w:t>环境湿度： 20%～80%</w:t>
      </w:r>
    </w:p>
    <w:p w:rsidR="00780042" w:rsidRPr="00F72A45" w:rsidRDefault="00780042" w:rsidP="00780042">
      <w:pPr>
        <w:widowControl/>
        <w:snapToGrid w:val="0"/>
        <w:spacing w:line="360" w:lineRule="auto"/>
        <w:rPr>
          <w:rFonts w:ascii="宋体" w:hAnsi="宋体" w:hint="eastAsia"/>
          <w:sz w:val="28"/>
        </w:rPr>
      </w:pPr>
      <w:r w:rsidRPr="00F72A45">
        <w:rPr>
          <w:rFonts w:ascii="宋体" w:hAnsi="宋体" w:hint="eastAsia"/>
          <w:b/>
          <w:sz w:val="24"/>
        </w:rPr>
        <w:t>二、系统主要技术指标：</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1. 检测技术：生物膜干涉技术，可以检测不可逆的生物分子结合</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*2. 检测模式：采用平行检测模式，同时检测1-8组独立的生物分子相互作用</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*3. 检测样品对象：可对DNA，多肽，蛋白质，寡糖或寡核苷酸，细胞，病毒、细菌和小分子化合物等进行检测</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4. 对血清，血浆，细胞裂解液，细胞上清液，组织匀浆等粗制样品中的蛋白质测定浓度</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5. 浸入式传感器，非破坏性检测，样品可回收，传感器可再生重复使用</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*6. 传感器种类 不少于17种：</w:t>
      </w:r>
      <w:proofErr w:type="spellStart"/>
      <w:r w:rsidRPr="00F72A45">
        <w:rPr>
          <w:rFonts w:ascii="宋体" w:hAnsi="宋体" w:hint="eastAsia"/>
          <w:sz w:val="22"/>
        </w:rPr>
        <w:t>ProteinA</w:t>
      </w:r>
      <w:proofErr w:type="spellEnd"/>
      <w:r w:rsidRPr="00F72A45">
        <w:rPr>
          <w:rFonts w:ascii="宋体" w:hAnsi="宋体" w:hint="eastAsia"/>
          <w:sz w:val="22"/>
        </w:rPr>
        <w:t xml:space="preserve">， Anti-HIS, Anti-Human- </w:t>
      </w:r>
      <w:proofErr w:type="spellStart"/>
      <w:r w:rsidRPr="00F72A45">
        <w:rPr>
          <w:rFonts w:ascii="宋体" w:hAnsi="宋体" w:hint="eastAsia"/>
          <w:sz w:val="22"/>
        </w:rPr>
        <w:t>IgG</w:t>
      </w:r>
      <w:proofErr w:type="spellEnd"/>
      <w:r w:rsidRPr="00F72A45">
        <w:rPr>
          <w:rFonts w:ascii="宋体" w:hAnsi="宋体" w:hint="eastAsia"/>
          <w:sz w:val="22"/>
        </w:rPr>
        <w:t>， Anti-Mouse-</w:t>
      </w:r>
      <w:proofErr w:type="spellStart"/>
      <w:r w:rsidRPr="00F72A45">
        <w:rPr>
          <w:rFonts w:ascii="宋体" w:hAnsi="宋体" w:hint="eastAsia"/>
          <w:sz w:val="22"/>
        </w:rPr>
        <w:t>IgG</w:t>
      </w:r>
      <w:proofErr w:type="spellEnd"/>
      <w:r w:rsidRPr="00F72A45">
        <w:rPr>
          <w:rFonts w:ascii="宋体" w:hAnsi="宋体" w:hint="eastAsia"/>
          <w:sz w:val="22"/>
        </w:rPr>
        <w:t xml:space="preserve">, Amine Active, </w:t>
      </w:r>
      <w:proofErr w:type="spellStart"/>
      <w:r w:rsidRPr="00F72A45">
        <w:rPr>
          <w:rFonts w:ascii="宋体" w:hAnsi="宋体" w:hint="eastAsia"/>
          <w:sz w:val="22"/>
        </w:rPr>
        <w:t>Streptavidine</w:t>
      </w:r>
      <w:proofErr w:type="spellEnd"/>
      <w:r w:rsidRPr="00F72A45">
        <w:rPr>
          <w:rFonts w:ascii="宋体" w:hAnsi="宋体" w:hint="eastAsia"/>
          <w:sz w:val="22"/>
        </w:rPr>
        <w:t xml:space="preserve">, Super </w:t>
      </w:r>
      <w:proofErr w:type="spellStart"/>
      <w:r w:rsidRPr="00F72A45">
        <w:rPr>
          <w:rFonts w:ascii="宋体" w:hAnsi="宋体" w:hint="eastAsia"/>
          <w:sz w:val="22"/>
        </w:rPr>
        <w:t>Strpetavidine</w:t>
      </w:r>
      <w:proofErr w:type="spellEnd"/>
      <w:r w:rsidRPr="00F72A45">
        <w:rPr>
          <w:rFonts w:ascii="宋体" w:hAnsi="宋体" w:hint="eastAsia"/>
          <w:sz w:val="22"/>
        </w:rPr>
        <w:t xml:space="preserve">, </w:t>
      </w:r>
      <w:proofErr w:type="spellStart"/>
      <w:r w:rsidRPr="00F72A45">
        <w:rPr>
          <w:rFonts w:ascii="宋体" w:hAnsi="宋体" w:hint="eastAsia"/>
          <w:sz w:val="22"/>
        </w:rPr>
        <w:t>Aminopropylsilane</w:t>
      </w:r>
      <w:proofErr w:type="spellEnd"/>
      <w:r w:rsidRPr="00F72A45">
        <w:rPr>
          <w:rFonts w:ascii="宋体" w:hAnsi="宋体" w:hint="eastAsia"/>
          <w:sz w:val="22"/>
        </w:rPr>
        <w:t>, Anti-</w:t>
      </w:r>
      <w:proofErr w:type="spellStart"/>
      <w:r w:rsidRPr="00F72A45">
        <w:rPr>
          <w:rFonts w:ascii="宋体" w:hAnsi="宋体" w:hint="eastAsia"/>
          <w:sz w:val="22"/>
        </w:rPr>
        <w:t>hIgG</w:t>
      </w:r>
      <w:proofErr w:type="spellEnd"/>
      <w:r w:rsidRPr="00F72A45">
        <w:rPr>
          <w:rFonts w:ascii="宋体" w:hAnsi="宋体" w:hint="eastAsia"/>
          <w:sz w:val="22"/>
        </w:rPr>
        <w:t xml:space="preserve"> </w:t>
      </w:r>
      <w:proofErr w:type="spellStart"/>
      <w:r w:rsidRPr="00F72A45">
        <w:rPr>
          <w:rFonts w:ascii="宋体" w:hAnsi="宋体" w:hint="eastAsia"/>
          <w:sz w:val="22"/>
        </w:rPr>
        <w:t>Fc</w:t>
      </w:r>
      <w:proofErr w:type="spellEnd"/>
      <w:r w:rsidRPr="00F72A45">
        <w:rPr>
          <w:rFonts w:ascii="宋体" w:hAnsi="宋体" w:hint="eastAsia"/>
          <w:sz w:val="22"/>
        </w:rPr>
        <w:t xml:space="preserve"> Capture, Protein G, Protein L， NTA，Anti-GST， Anti-Human-CH1，FAB2G，SAX等</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*7.检测器类型：高灵敏度光干涉检测器，</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8. 检测器数量： 8组光干涉检测器，每通道对应一个检测孔，每孔独立。</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9.浓度定量范围：0.05</w:t>
      </w:r>
      <w:r w:rsidRPr="00F72A45">
        <w:rPr>
          <w:sz w:val="22"/>
        </w:rPr>
        <w:t>µ</w:t>
      </w:r>
      <w:r w:rsidRPr="00F72A45">
        <w:rPr>
          <w:rFonts w:ascii="宋体" w:hAnsi="宋体" w:hint="eastAsia"/>
          <w:sz w:val="22"/>
        </w:rPr>
        <w:t>g/ml-2000</w:t>
      </w:r>
      <w:r w:rsidRPr="00F72A45">
        <w:rPr>
          <w:sz w:val="22"/>
        </w:rPr>
        <w:t>µ</w:t>
      </w:r>
      <w:r w:rsidRPr="00F72A45">
        <w:rPr>
          <w:rFonts w:ascii="宋体" w:hAnsi="宋体" w:hint="eastAsia"/>
          <w:sz w:val="22"/>
        </w:rPr>
        <w:t>g/ml，浓度检测范围：0.1ng/ml-2000ug/ml</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 xml:space="preserve">10.样品体积：180-220μl  </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*11. 结合常数范围： 10</w:t>
      </w:r>
      <w:r w:rsidRPr="00F72A45">
        <w:rPr>
          <w:rFonts w:ascii="宋体" w:hAnsi="宋体" w:hint="eastAsia"/>
          <w:sz w:val="22"/>
          <w:vertAlign w:val="superscript"/>
        </w:rPr>
        <w:t>1</w:t>
      </w:r>
      <w:r w:rsidRPr="00F72A45">
        <w:rPr>
          <w:rFonts w:ascii="宋体" w:hAnsi="宋体" w:hint="eastAsia"/>
          <w:sz w:val="22"/>
        </w:rPr>
        <w:t>－10</w:t>
      </w:r>
      <w:r w:rsidRPr="00F72A45">
        <w:rPr>
          <w:rFonts w:ascii="宋体" w:hAnsi="宋体" w:hint="eastAsia"/>
          <w:sz w:val="22"/>
          <w:vertAlign w:val="superscript"/>
        </w:rPr>
        <w:t>7</w:t>
      </w:r>
      <w:r w:rsidRPr="00F72A45">
        <w:rPr>
          <w:rFonts w:ascii="宋体" w:hAnsi="宋体" w:hint="eastAsia"/>
          <w:sz w:val="22"/>
        </w:rPr>
        <w:t>M</w:t>
      </w:r>
      <w:r w:rsidRPr="00F72A45">
        <w:rPr>
          <w:rFonts w:ascii="宋体" w:hAnsi="宋体" w:hint="eastAsia"/>
          <w:sz w:val="22"/>
          <w:vertAlign w:val="superscript"/>
        </w:rPr>
        <w:t>-1</w:t>
      </w:r>
      <w:r w:rsidRPr="00F72A45">
        <w:rPr>
          <w:rFonts w:ascii="宋体" w:hAnsi="宋体" w:hint="eastAsia"/>
          <w:sz w:val="22"/>
        </w:rPr>
        <w:t>S</w:t>
      </w:r>
      <w:r w:rsidRPr="00F72A45">
        <w:rPr>
          <w:rFonts w:ascii="宋体" w:hAnsi="宋体" w:hint="eastAsia"/>
          <w:sz w:val="22"/>
          <w:vertAlign w:val="superscript"/>
        </w:rPr>
        <w:t>-1</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*12．解离常数范围： 10</w:t>
      </w:r>
      <w:r w:rsidRPr="00F72A45">
        <w:rPr>
          <w:rFonts w:ascii="宋体" w:hAnsi="宋体" w:hint="eastAsia"/>
          <w:sz w:val="22"/>
          <w:vertAlign w:val="superscript"/>
        </w:rPr>
        <w:t>-6</w:t>
      </w:r>
      <w:r w:rsidRPr="00F72A45">
        <w:rPr>
          <w:rFonts w:ascii="宋体" w:hAnsi="宋体" w:hint="eastAsia"/>
          <w:sz w:val="22"/>
        </w:rPr>
        <w:t>－  10</w:t>
      </w:r>
      <w:r w:rsidRPr="00F72A45">
        <w:rPr>
          <w:rFonts w:ascii="宋体" w:hAnsi="宋体" w:hint="eastAsia"/>
          <w:sz w:val="22"/>
          <w:vertAlign w:val="superscript"/>
        </w:rPr>
        <w:t>-1</w:t>
      </w:r>
      <w:r w:rsidRPr="00F72A45">
        <w:rPr>
          <w:rFonts w:ascii="宋体" w:hAnsi="宋体" w:hint="eastAsia"/>
          <w:sz w:val="22"/>
        </w:rPr>
        <w:t>S</w:t>
      </w:r>
      <w:r w:rsidRPr="00F72A45">
        <w:rPr>
          <w:rFonts w:ascii="宋体" w:hAnsi="宋体" w:hint="eastAsia"/>
          <w:sz w:val="22"/>
          <w:vertAlign w:val="superscript"/>
        </w:rPr>
        <w:t>-1</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13．平衡亲和力： 10</w:t>
      </w:r>
      <w:r w:rsidRPr="00F72A45">
        <w:rPr>
          <w:rFonts w:ascii="宋体" w:hAnsi="宋体" w:hint="eastAsia"/>
          <w:sz w:val="22"/>
          <w:vertAlign w:val="superscript"/>
        </w:rPr>
        <w:t>-3</w:t>
      </w:r>
      <w:r w:rsidRPr="00F72A45">
        <w:rPr>
          <w:rFonts w:ascii="宋体" w:hAnsi="宋体" w:hint="eastAsia"/>
          <w:sz w:val="22"/>
        </w:rPr>
        <w:t>－10</w:t>
      </w:r>
      <w:r w:rsidRPr="00F72A45">
        <w:rPr>
          <w:rFonts w:ascii="宋体" w:hAnsi="宋体" w:hint="eastAsia"/>
          <w:sz w:val="22"/>
          <w:vertAlign w:val="superscript"/>
        </w:rPr>
        <w:t>-12</w:t>
      </w:r>
      <w:r w:rsidRPr="00F72A45">
        <w:rPr>
          <w:rFonts w:ascii="宋体" w:hAnsi="宋体" w:hint="eastAsia"/>
          <w:sz w:val="22"/>
        </w:rPr>
        <w:t>M</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 xml:space="preserve">14. 检测分子量下限： 150 </w:t>
      </w:r>
      <w:proofErr w:type="spellStart"/>
      <w:r w:rsidRPr="00F72A45">
        <w:rPr>
          <w:rFonts w:ascii="宋体" w:hAnsi="宋体" w:hint="eastAsia"/>
          <w:sz w:val="22"/>
        </w:rPr>
        <w:t>Dal</w:t>
      </w:r>
      <w:proofErr w:type="spellEnd"/>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15.样品分析速度：不低于96样品/小时</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lastRenderedPageBreak/>
        <w:t>16. 基线噪声：2.5pm，基线漂移：21pm/小时</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17.亲和力范围：1mM-10</w:t>
      </w:r>
      <w:r w:rsidRPr="00F72A45">
        <w:rPr>
          <w:rFonts w:ascii="宋体" w:hAnsi="宋体"/>
          <w:sz w:val="22"/>
        </w:rPr>
        <w:t>Pm</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18.有样品蒸发控制</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19.样品温控：室温-10度至40度</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20. 数据采集和显示：实时数据采集和显示；数据处理工具可以根据样品的类型和操作步骤来显示；数据归纳工具可以对数据进行组织和归纳，满足数据显示、处理和分析的需要；反应显示工具可以对反应和样品数据进行显示、隐蔽或选择分析。</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 xml:space="preserve">21.数据分析处理：数据分析的动力学分析曲线拟合至少3种模型可选： Langmuir (1:1模型)；二价分析物；双分析物竞争；双配体位点竞争；数据分析的浓度分析2种模型可选：结合速率Vs浓度，结合信号Vs浓度；数据分析结果支持多种输出格式，Excel, </w:t>
      </w:r>
      <w:proofErr w:type="spellStart"/>
      <w:r w:rsidRPr="00F72A45">
        <w:rPr>
          <w:rFonts w:ascii="宋体" w:hAnsi="宋体" w:hint="eastAsia"/>
          <w:sz w:val="22"/>
        </w:rPr>
        <w:t>JEPGd</w:t>
      </w:r>
      <w:proofErr w:type="spellEnd"/>
      <w:r w:rsidRPr="00F72A45">
        <w:rPr>
          <w:rFonts w:ascii="宋体" w:hAnsi="宋体" w:hint="eastAsia"/>
          <w:sz w:val="22"/>
        </w:rPr>
        <w:t>等，可直接导入其他专业数据分析软件</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三、系统可以实现的功能</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全自动的传感器移动，样品盘温度控制和摇动。全自动基线校正。用于活性分子与靶点结合的机理研究，并在分子水平上对功能机理进行揭示，研究信号通路，调控机理，结构分析，蛋白质结构，药物筛选，或进行有特定靶标的生物功能分子的筛选。</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*四、配置要求</w:t>
      </w:r>
    </w:p>
    <w:p w:rsidR="00780042" w:rsidRPr="00F72A45" w:rsidRDefault="00780042" w:rsidP="00780042">
      <w:pPr>
        <w:widowControl/>
        <w:autoSpaceDE w:val="0"/>
        <w:autoSpaceDN w:val="0"/>
        <w:snapToGrid w:val="0"/>
        <w:spacing w:after="200" w:line="360" w:lineRule="auto"/>
        <w:ind w:firstLine="550"/>
        <w:jc w:val="left"/>
        <w:rPr>
          <w:rFonts w:ascii="宋体" w:hAnsi="宋体" w:hint="eastAsia"/>
          <w:sz w:val="22"/>
        </w:rPr>
      </w:pPr>
      <w:r w:rsidRPr="00F72A45">
        <w:rPr>
          <w:rFonts w:ascii="宋体" w:hAnsi="宋体" w:hint="eastAsia"/>
          <w:sz w:val="22"/>
        </w:rPr>
        <w:t>生物分子相互作用分析主机    1台</w:t>
      </w:r>
    </w:p>
    <w:p w:rsidR="00780042" w:rsidRPr="00F72A45" w:rsidRDefault="00780042" w:rsidP="00780042">
      <w:pPr>
        <w:widowControl/>
        <w:autoSpaceDE w:val="0"/>
        <w:autoSpaceDN w:val="0"/>
        <w:snapToGrid w:val="0"/>
        <w:spacing w:after="200" w:line="360" w:lineRule="auto"/>
        <w:ind w:firstLine="550"/>
        <w:jc w:val="left"/>
        <w:rPr>
          <w:rFonts w:ascii="宋体" w:hAnsi="宋体" w:hint="eastAsia"/>
          <w:sz w:val="22"/>
        </w:rPr>
      </w:pPr>
      <w:r w:rsidRPr="00F72A45">
        <w:rPr>
          <w:rFonts w:ascii="宋体" w:hAnsi="宋体" w:hint="eastAsia"/>
          <w:sz w:val="22"/>
        </w:rPr>
        <w:t>系统控制器                  1台</w:t>
      </w:r>
    </w:p>
    <w:p w:rsidR="00780042" w:rsidRPr="00F72A45" w:rsidRDefault="00780042" w:rsidP="00780042">
      <w:pPr>
        <w:widowControl/>
        <w:snapToGrid w:val="0"/>
        <w:spacing w:after="200" w:line="360" w:lineRule="auto"/>
        <w:ind w:firstLine="550"/>
        <w:jc w:val="left"/>
        <w:rPr>
          <w:rFonts w:ascii="宋体" w:hAnsi="宋体" w:hint="eastAsia"/>
          <w:sz w:val="22"/>
        </w:rPr>
      </w:pPr>
      <w:r w:rsidRPr="00F72A45">
        <w:rPr>
          <w:rFonts w:ascii="宋体" w:hAnsi="宋体" w:hint="eastAsia"/>
          <w:sz w:val="22"/>
        </w:rPr>
        <w:t>仪器控制软件                1套</w:t>
      </w:r>
    </w:p>
    <w:p w:rsidR="00780042" w:rsidRPr="00F72A45" w:rsidRDefault="00780042" w:rsidP="00780042">
      <w:pPr>
        <w:widowControl/>
        <w:snapToGrid w:val="0"/>
        <w:spacing w:after="200" w:line="360" w:lineRule="auto"/>
        <w:ind w:firstLine="550"/>
        <w:jc w:val="left"/>
        <w:rPr>
          <w:rFonts w:ascii="宋体" w:hAnsi="宋体" w:hint="eastAsia"/>
          <w:sz w:val="22"/>
        </w:rPr>
      </w:pPr>
      <w:r w:rsidRPr="00F72A45">
        <w:rPr>
          <w:rFonts w:ascii="宋体" w:hAnsi="宋体" w:hint="eastAsia"/>
          <w:sz w:val="22"/>
        </w:rPr>
        <w:t>数据分析软件                1 套</w:t>
      </w:r>
    </w:p>
    <w:p w:rsidR="00780042" w:rsidRPr="00F72A45" w:rsidRDefault="00780042" w:rsidP="00780042">
      <w:pPr>
        <w:widowControl/>
        <w:snapToGrid w:val="0"/>
        <w:spacing w:after="200" w:line="360" w:lineRule="auto"/>
        <w:ind w:firstLine="550"/>
        <w:jc w:val="left"/>
        <w:rPr>
          <w:rFonts w:ascii="宋体" w:hAnsi="宋体" w:hint="eastAsia"/>
          <w:sz w:val="22"/>
        </w:rPr>
      </w:pPr>
      <w:r w:rsidRPr="00F72A45">
        <w:rPr>
          <w:rFonts w:ascii="宋体" w:hAnsi="宋体" w:hint="eastAsia"/>
          <w:sz w:val="22"/>
        </w:rPr>
        <w:t>链霉亲和素的传感器         96根</w:t>
      </w:r>
    </w:p>
    <w:p w:rsidR="00780042" w:rsidRPr="00F72A45" w:rsidRDefault="00780042" w:rsidP="00780042">
      <w:pPr>
        <w:widowControl/>
        <w:snapToGrid w:val="0"/>
        <w:spacing w:after="200" w:line="360" w:lineRule="auto"/>
        <w:ind w:firstLine="550"/>
        <w:jc w:val="left"/>
        <w:rPr>
          <w:rFonts w:ascii="宋体" w:hAnsi="宋体" w:hint="eastAsia"/>
          <w:sz w:val="22"/>
        </w:rPr>
      </w:pPr>
      <w:r w:rsidRPr="00F72A45">
        <w:rPr>
          <w:rFonts w:ascii="宋体" w:hAnsi="宋体" w:hint="eastAsia"/>
          <w:sz w:val="22"/>
        </w:rPr>
        <w:t>NI-NTA的传感器             96根</w:t>
      </w:r>
    </w:p>
    <w:p w:rsidR="00780042" w:rsidRPr="00F72A45" w:rsidRDefault="00780042" w:rsidP="00780042">
      <w:pPr>
        <w:widowControl/>
        <w:snapToGrid w:val="0"/>
        <w:spacing w:after="200" w:line="360" w:lineRule="auto"/>
        <w:ind w:firstLine="550"/>
        <w:jc w:val="left"/>
        <w:rPr>
          <w:rFonts w:ascii="宋体" w:hAnsi="宋体" w:hint="eastAsia"/>
          <w:sz w:val="22"/>
        </w:rPr>
      </w:pPr>
      <w:r w:rsidRPr="00F72A45">
        <w:rPr>
          <w:rFonts w:ascii="宋体" w:hAnsi="宋体" w:hint="eastAsia"/>
          <w:sz w:val="22"/>
        </w:rPr>
        <w:t>氨基偶联传感器              96根</w:t>
      </w:r>
    </w:p>
    <w:p w:rsidR="00780042" w:rsidRPr="00F72A45" w:rsidRDefault="00780042" w:rsidP="00780042">
      <w:pPr>
        <w:widowControl/>
        <w:snapToGrid w:val="0"/>
        <w:spacing w:after="200" w:line="360" w:lineRule="auto"/>
        <w:ind w:firstLine="550"/>
        <w:jc w:val="left"/>
        <w:rPr>
          <w:rFonts w:ascii="宋体" w:hAnsi="宋体" w:hint="eastAsia"/>
          <w:sz w:val="22"/>
        </w:rPr>
      </w:pPr>
      <w:r w:rsidRPr="00F72A45">
        <w:rPr>
          <w:rFonts w:ascii="宋体" w:hAnsi="宋体" w:hint="eastAsia"/>
          <w:sz w:val="22"/>
        </w:rPr>
        <w:t>UPS不间断电源              1台</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五、技术服务</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lastRenderedPageBreak/>
        <w:t>1、安装、调试：卖方专家负责现场免费安装及调试按照生产厂提供的技术指标及标书要求验收仪器。</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2、操作人员培训：安装仪器时，现场提供基本操作培训。</w:t>
      </w:r>
      <w:proofErr w:type="gramStart"/>
      <w:r w:rsidRPr="00F72A45">
        <w:rPr>
          <w:rFonts w:ascii="宋体" w:hAnsi="宋体" w:hint="eastAsia"/>
          <w:sz w:val="22"/>
        </w:rPr>
        <w:t>加用户入用户微信群了解</w:t>
      </w:r>
      <w:proofErr w:type="gramEnd"/>
      <w:r w:rsidRPr="00F72A45">
        <w:rPr>
          <w:rFonts w:ascii="宋体" w:hAnsi="宋体" w:hint="eastAsia"/>
          <w:sz w:val="22"/>
        </w:rPr>
        <w:t>和沟通实验及技术相关的技术问题，技术专家大概2-3个月来巡视用户的使用情况，有问题随时解决。</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3、售后服务：仪器发生故障，二十四小时内给予答复。如故障导致仪器无法运转，需要现场检修，三个工作日内到达现场提供免费技术咨询</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4、在保修期内，对软件免费升级</w:t>
      </w:r>
    </w:p>
    <w:p w:rsidR="00780042" w:rsidRPr="00F72A45" w:rsidRDefault="00780042" w:rsidP="00780042">
      <w:pPr>
        <w:widowControl/>
        <w:autoSpaceDE w:val="0"/>
        <w:autoSpaceDN w:val="0"/>
        <w:snapToGrid w:val="0"/>
        <w:spacing w:after="200" w:line="360" w:lineRule="auto"/>
        <w:jc w:val="left"/>
        <w:rPr>
          <w:rFonts w:ascii="宋体" w:hAnsi="宋体" w:hint="eastAsia"/>
          <w:sz w:val="22"/>
        </w:rPr>
      </w:pPr>
      <w:r w:rsidRPr="00F72A45">
        <w:rPr>
          <w:rFonts w:ascii="宋体" w:hAnsi="宋体" w:hint="eastAsia"/>
          <w:sz w:val="22"/>
        </w:rPr>
        <w:t>5、主机保修期为壹年</w:t>
      </w:r>
    </w:p>
    <w:p w:rsidR="00456E23" w:rsidRDefault="00780042" w:rsidP="00780042">
      <w:r w:rsidRPr="00F72A45">
        <w:rPr>
          <w:rFonts w:ascii="宋体" w:hAnsi="宋体" w:hint="eastAsia"/>
          <w:sz w:val="22"/>
        </w:rPr>
        <w:t>*6、提供厂家或正规供货渠道授权。</w:t>
      </w:r>
    </w:p>
    <w:sectPr w:rsidR="00456E23" w:rsidSect="00456E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130" w:rsidRDefault="00533130" w:rsidP="00780042">
      <w:r>
        <w:separator/>
      </w:r>
    </w:p>
  </w:endnote>
  <w:endnote w:type="continuationSeparator" w:id="0">
    <w:p w:rsidR="00533130" w:rsidRDefault="00533130" w:rsidP="0078004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130" w:rsidRDefault="00533130" w:rsidP="00780042">
      <w:r>
        <w:separator/>
      </w:r>
    </w:p>
  </w:footnote>
  <w:footnote w:type="continuationSeparator" w:id="0">
    <w:p w:rsidR="00533130" w:rsidRDefault="00533130" w:rsidP="007800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multilevel"/>
    <w:tmpl w:val="00000000"/>
    <w:lvl w:ilvl="0">
      <w:start w:val="1"/>
      <w:numFmt w:val="decimal"/>
      <w:lvlText w:val="（%1）"/>
      <w:lvlJc w:val="left"/>
      <w:pPr>
        <w:ind w:left="-425" w:hanging="425"/>
      </w:pPr>
      <w:rPr>
        <w:rFonts w:ascii="宋体" w:hAnsi="宋体" w:hint="default"/>
        <w:w w:val="100"/>
      </w:rPr>
    </w:lvl>
    <w:lvl w:ilvl="1" w:tentative="1">
      <w:start w:val="16"/>
      <w:numFmt w:val="bullet"/>
      <w:lvlText w:val="★"/>
      <w:lvlJc w:val="left"/>
      <w:pPr>
        <w:ind w:left="3120" w:hanging="360"/>
      </w:pPr>
      <w:rPr>
        <w:rFonts w:ascii="华文仿宋" w:eastAsia="华文仿宋" w:hAnsi="华文仿宋"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042"/>
    <w:rsid w:val="00456E23"/>
    <w:rsid w:val="00533130"/>
    <w:rsid w:val="00780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0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0042"/>
    <w:rPr>
      <w:sz w:val="18"/>
      <w:szCs w:val="18"/>
    </w:rPr>
  </w:style>
  <w:style w:type="paragraph" w:styleId="a4">
    <w:name w:val="footer"/>
    <w:basedOn w:val="a"/>
    <w:link w:val="Char0"/>
    <w:uiPriority w:val="99"/>
    <w:semiHidden/>
    <w:unhideWhenUsed/>
    <w:rsid w:val="007800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00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宗南</dc:creator>
  <cp:keywords/>
  <dc:description/>
  <cp:lastModifiedBy>宗南</cp:lastModifiedBy>
  <cp:revision>2</cp:revision>
  <dcterms:created xsi:type="dcterms:W3CDTF">2018-08-03T02:35:00Z</dcterms:created>
  <dcterms:modified xsi:type="dcterms:W3CDTF">2018-08-03T02:35:00Z</dcterms:modified>
</cp:coreProperties>
</file>