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numPr>
          <w:numId w:val="0"/>
        </w:numPr>
        <w:spacing w:before="0" w:after="0"/>
        <w:ind w:right="210" w:rightChars="100"/>
        <w:jc w:val="center"/>
        <w:rPr>
          <w:color w:val="auto"/>
          <w:highlight w:val="none"/>
        </w:rPr>
      </w:pPr>
      <w:bookmarkStart w:id="0" w:name="_Toc20473792"/>
      <w:bookmarkStart w:id="23" w:name="_GoBack"/>
      <w:r>
        <w:rPr>
          <w:rFonts w:hint="eastAsia"/>
          <w:color w:val="auto"/>
          <w:highlight w:val="none"/>
        </w:rPr>
        <w:t>采购人需求</w:t>
      </w:r>
      <w:bookmarkEnd w:id="0"/>
    </w:p>
    <w:bookmarkEnd w:id="23"/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highlight w:val="none"/>
        </w:rPr>
      </w:pPr>
      <w:bookmarkStart w:id="1" w:name="_Toc511907070"/>
      <w:bookmarkStart w:id="2" w:name="_Toc511661025"/>
      <w:r>
        <w:rPr>
          <w:rFonts w:hint="eastAsia"/>
          <w:highlight w:val="none"/>
        </w:rPr>
        <w:t>一、项目概况</w:t>
      </w:r>
      <w:bookmarkEnd w:id="1"/>
      <w:bookmarkEnd w:id="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highlight w:val="none"/>
          <w:lang w:val="sq-AL"/>
        </w:rPr>
      </w:pPr>
      <w:bookmarkStart w:id="3" w:name="_Toc511907071"/>
      <w:bookmarkStart w:id="4" w:name="_Toc511661026"/>
      <w:r>
        <w:rPr>
          <w:rFonts w:hint="default" w:ascii="Times New Roman" w:hAnsi="Times New Roman" w:cs="Times New Roman"/>
          <w:sz w:val="24"/>
          <w:highlight w:val="none"/>
          <w:lang w:val="sq-AL"/>
        </w:rPr>
        <w:t>1、建设目标</w:t>
      </w:r>
      <w:bookmarkEnd w:id="3"/>
      <w:bookmarkEnd w:id="4"/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highlight w:val="none"/>
        </w:rPr>
      </w:pPr>
      <w:bookmarkStart w:id="5" w:name="_Toc511661027"/>
      <w:bookmarkStart w:id="6" w:name="_Toc511907072"/>
      <w:r>
        <w:rPr>
          <w:rFonts w:hint="default" w:ascii="Times New Roman" w:hAnsi="Times New Roman" w:cs="Times New Roman"/>
          <w:sz w:val="24"/>
          <w:highlight w:val="none"/>
        </w:rPr>
        <w:t>哈尔滨工业大学现拥有4万网络用户，为保障出口网络使用正常，多年来我校在校园网出口采用流控设备保障正常网络用户用网带宽，限制异常用户网络流量。我校近期刚扩容了移动40Gbps出口链路，现有出口总带宽从21.2Gbps直接升到57.2Gbps，出口带宽突发增长速度远超之前的网络规划。现学校出口下行网络流量峰值高达30Gbps，出口总流量超过34Gbps。原有IPv4和IPv6流控设备已不能满足现在的实际带宽需求。需要对出口流控设备进行更新，实现对学校出口网络流量进行有效管控。</w:t>
      </w:r>
    </w:p>
    <w:p>
      <w:pPr>
        <w:spacing w:line="360" w:lineRule="auto"/>
        <w:rPr>
          <w:rFonts w:hint="default" w:ascii="Times New Roman" w:hAnsi="Times New Roman" w:cs="Times New Roman"/>
          <w:sz w:val="24"/>
          <w:highlight w:val="none"/>
          <w:lang w:val="sq-AL"/>
        </w:rPr>
      </w:pPr>
      <w:r>
        <w:rPr>
          <w:rFonts w:hint="default" w:ascii="Times New Roman" w:hAnsi="Times New Roman" w:cs="Times New Roman"/>
          <w:sz w:val="24"/>
          <w:highlight w:val="none"/>
          <w:lang w:val="sq-AL"/>
        </w:rPr>
        <w:t>2、预期的建设效果</w:t>
      </w:r>
      <w:bookmarkEnd w:id="5"/>
      <w:bookmarkEnd w:id="6"/>
    </w:p>
    <w:p>
      <w:pPr>
        <w:spacing w:line="360" w:lineRule="auto"/>
        <w:ind w:firstLine="480" w:firstLineChars="200"/>
        <w:rPr>
          <w:rFonts w:hint="default" w:ascii="Times New Roman" w:hAnsi="Times New Roman" w:cs="Times New Roman"/>
          <w:sz w:val="24"/>
          <w:highlight w:val="none"/>
        </w:rPr>
      </w:pPr>
      <w:bookmarkStart w:id="7" w:name="_Toc511907073"/>
      <w:bookmarkStart w:id="8" w:name="_Toc511661028"/>
      <w:r>
        <w:rPr>
          <w:rFonts w:hint="default" w:ascii="Times New Roman" w:hAnsi="Times New Roman" w:cs="Times New Roman"/>
          <w:sz w:val="24"/>
          <w:highlight w:val="none"/>
        </w:rPr>
        <w:t>项目建成后能对哈尔滨工业大学内网流量进行有效的采集和识别，分析各种应用协议的流量构成和占比，做到流量可视化；满足学校之前提出的能对出口用户流量进行有效的管理；能够及时准确地识别网络的异常流量，并能够对齐进行有效的控制和处理。通过监控网络流量的具体行为特征，启用流量控制和优化策略，有针对性的对低时延及业务敏感的流量进行优化和牵引，针对低附加值和高带宽占用的流量进行有效的控制。能够实现宽带互联网用户访问行为全面管控，包括用户带宽管理，用户访问优先级管理，用户行为记录，用户行为数据统计等。能够满足公安部151号令中对网络安全的要求,日志服务应满足国家相关规定，至少保存180天运行日志。统一全校内部网络Internet出口使得物理资源可以按需调度，物理资源得以最大限度的重用，减少建设成本，提高使用效率。即能够实现总硬件资源占用量降低了，而每个业务得到的服务反而更有充分的资源保证。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highlight w:val="none"/>
        </w:rPr>
      </w:pPr>
      <w:r>
        <w:rPr>
          <w:rFonts w:hint="eastAsia"/>
          <w:highlight w:val="none"/>
        </w:rPr>
        <w:t>二、项目需求描述</w:t>
      </w:r>
      <w:bookmarkEnd w:id="7"/>
      <w:bookmarkEnd w:id="8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宋体" w:hAnsi="宋体"/>
          <w:sz w:val="24"/>
          <w:highlight w:val="none"/>
        </w:rPr>
      </w:pPr>
      <w:r>
        <w:rPr>
          <w:rFonts w:hint="eastAsia" w:ascii="宋体" w:hAnsi="宋体"/>
          <w:sz w:val="24"/>
          <w:highlight w:val="none"/>
        </w:rPr>
        <w:t>我校网络拓扑情况如图1所示，校园IPv4</w:t>
      </w:r>
      <w:r>
        <w:rPr>
          <w:rFonts w:ascii="宋体" w:hAnsi="宋体"/>
          <w:sz w:val="24"/>
          <w:highlight w:val="none"/>
        </w:rPr>
        <w:t>/IPv6核心网络</w:t>
      </w:r>
      <w:r>
        <w:rPr>
          <w:rFonts w:hint="eastAsia" w:ascii="宋体" w:hAnsi="宋体"/>
          <w:sz w:val="24"/>
          <w:highlight w:val="none"/>
        </w:rPr>
        <w:t>，由冗余核心</w:t>
      </w:r>
      <w:r>
        <w:rPr>
          <w:rFonts w:ascii="宋体" w:hAnsi="宋体"/>
          <w:sz w:val="24"/>
          <w:highlight w:val="none"/>
        </w:rPr>
        <w:t>路由</w:t>
      </w:r>
      <w:r>
        <w:rPr>
          <w:rFonts w:hint="eastAsia" w:ascii="宋体" w:hAnsi="宋体"/>
          <w:sz w:val="24"/>
          <w:highlight w:val="none"/>
        </w:rPr>
        <w:t>器集群</w:t>
      </w:r>
      <w:r>
        <w:rPr>
          <w:rFonts w:ascii="宋体" w:hAnsi="宋体"/>
          <w:sz w:val="24"/>
          <w:highlight w:val="none"/>
        </w:rPr>
        <w:t>分别通过</w:t>
      </w:r>
      <w:r>
        <w:rPr>
          <w:rFonts w:hint="eastAsia" w:ascii="宋体" w:hAnsi="宋体"/>
          <w:sz w:val="24"/>
          <w:highlight w:val="none"/>
        </w:rPr>
        <w:t>两条40GE链路经过出口层流控设备，再到冗余</w:t>
      </w:r>
      <w:r>
        <w:rPr>
          <w:rFonts w:ascii="宋体" w:hAnsi="宋体"/>
          <w:sz w:val="24"/>
          <w:highlight w:val="none"/>
        </w:rPr>
        <w:t>出口防火墙</w:t>
      </w:r>
      <w:r>
        <w:rPr>
          <w:rFonts w:hint="eastAsia" w:ascii="宋体" w:hAnsi="宋体"/>
          <w:sz w:val="24"/>
          <w:highlight w:val="none"/>
        </w:rPr>
        <w:t>集群</w:t>
      </w:r>
      <w:r>
        <w:rPr>
          <w:rFonts w:ascii="宋体" w:hAnsi="宋体"/>
          <w:sz w:val="24"/>
          <w:highlight w:val="none"/>
        </w:rPr>
        <w:t>。</w:t>
      </w:r>
      <w:r>
        <w:rPr>
          <w:rFonts w:hint="eastAsia" w:ascii="宋体" w:hAnsi="宋体"/>
          <w:sz w:val="24"/>
          <w:highlight w:val="none"/>
        </w:rPr>
        <w:t>所有出口流量均分别经过出口流控设备，由出口流控设备对出口网络流量进行管控，实现可按应用进行带宽管理和按IP地址进行带宽管理。</w:t>
      </w:r>
    </w:p>
    <w:p>
      <w:pPr>
        <w:spacing w:line="360" w:lineRule="auto"/>
        <w:ind w:firstLine="420" w:firstLineChars="200"/>
        <w:rPr>
          <w:rFonts w:ascii="宋体" w:hAnsi="宋体"/>
          <w:highlight w:val="none"/>
        </w:rPr>
      </w:pPr>
      <w:r>
        <w:rPr>
          <w:rFonts w:ascii="宋体" w:hAnsi="宋体"/>
          <w:highlight w:val="none"/>
        </w:rPr>
        <w:object>
          <v:shape id="_x0000_i1025" o:spt="75" type="#_x0000_t75" style="height:223.5pt;width:385.7pt;" o:ole="t" filled="f" o:preferrelative="t" stroked="f" coordsize="21600,21600">
            <v:path/>
            <v:fill on="f" focussize="0,0"/>
            <v:stroke on="f"/>
            <v:imagedata r:id="rId5" croptop="5869f" o:title=""/>
            <o:lock v:ext="edit" aspectratio="t"/>
            <w10:wrap type="none"/>
            <w10:anchorlock/>
          </v:shape>
          <o:OLEObject Type="Embed" ProgID="Visio.Drawing.15" ShapeID="_x0000_i1025" DrawAspect="Content" ObjectID="_1468075725" r:id="rId4">
            <o:LockedField>false</o:LockedField>
          </o:OLEObject>
        </w:object>
      </w:r>
    </w:p>
    <w:p>
      <w:pPr>
        <w:spacing w:line="360" w:lineRule="auto"/>
        <w:ind w:firstLine="480" w:firstLineChars="200"/>
        <w:jc w:val="center"/>
        <w:rPr>
          <w:rFonts w:hint="eastAsia"/>
          <w:sz w:val="24"/>
          <w:szCs w:val="24"/>
          <w:highlight w:val="none"/>
        </w:rPr>
      </w:pPr>
      <w:r>
        <w:rPr>
          <w:rFonts w:hint="eastAsia" w:ascii="宋体" w:hAnsi="宋体"/>
          <w:sz w:val="24"/>
          <w:szCs w:val="24"/>
          <w:highlight w:val="none"/>
        </w:rPr>
        <w:t>图1：网络拓扑</w:t>
      </w:r>
    </w:p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highlight w:val="none"/>
        </w:rPr>
      </w:pPr>
      <w:bookmarkStart w:id="9" w:name="_Toc511661029"/>
      <w:bookmarkStart w:id="10" w:name="_Toc511907074"/>
      <w:r>
        <w:rPr>
          <w:rFonts w:hint="eastAsia"/>
          <w:highlight w:val="none"/>
        </w:rPr>
        <w:t>三、项目技术要求</w:t>
      </w:r>
      <w:bookmarkEnd w:id="9"/>
      <w:bookmarkEnd w:id="10"/>
    </w:p>
    <w:p>
      <w:pPr>
        <w:spacing w:line="360" w:lineRule="auto"/>
        <w:rPr>
          <w:rFonts w:hint="eastAsia" w:ascii="宋体" w:hAnsi="宋体" w:eastAsia="宋体" w:cs="宋体"/>
          <w:sz w:val="24"/>
          <w:highlight w:val="none"/>
          <w:lang w:val="sq-AL"/>
        </w:rPr>
      </w:pPr>
      <w:bookmarkStart w:id="11" w:name="_Toc511907075"/>
      <w:bookmarkStart w:id="12" w:name="_Toc511661030"/>
      <w:r>
        <w:rPr>
          <w:rFonts w:hint="eastAsia" w:ascii="宋体" w:hAnsi="宋体" w:eastAsia="宋体" w:cs="宋体"/>
          <w:sz w:val="24"/>
          <w:highlight w:val="none"/>
          <w:lang w:val="sq-AL"/>
        </w:rPr>
        <w:t>1、总体要求</w:t>
      </w:r>
      <w:bookmarkEnd w:id="11"/>
      <w:bookmarkEnd w:id="12"/>
    </w:p>
    <w:p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出口流控设备位于校园网出口核心位置，对学校所有出口流量进行识别，并对用户IP出口带宽进行管控，保障网络用户出口合理使用带宽，限制无节制带宽。同时能够按应用对特定有害应用进行封堵，进一步保障学校网络安全。</w:t>
      </w:r>
    </w:p>
    <w:p>
      <w:pPr>
        <w:spacing w:line="360" w:lineRule="auto"/>
        <w:ind w:firstLine="480" w:firstLineChars="200"/>
        <w:rPr>
          <w:rFonts w:hint="eastAsia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校园出口流控项目须由原厂工程师安装调试，设备质保期不少于五年。</w:t>
      </w:r>
    </w:p>
    <w:p>
      <w:pPr>
        <w:spacing w:line="360" w:lineRule="auto"/>
        <w:rPr>
          <w:rFonts w:hint="eastAsia" w:ascii="宋体" w:hAnsi="宋体" w:eastAsia="宋体" w:cs="宋体"/>
          <w:sz w:val="24"/>
          <w:highlight w:val="none"/>
          <w:lang w:val="sq-AL"/>
        </w:rPr>
      </w:pPr>
      <w:bookmarkStart w:id="13" w:name="_Toc511661031"/>
      <w:bookmarkStart w:id="14" w:name="_Toc511907076"/>
      <w:r>
        <w:rPr>
          <w:rFonts w:hint="eastAsia" w:ascii="宋体" w:hAnsi="宋体" w:eastAsia="宋体" w:cs="宋体"/>
          <w:sz w:val="24"/>
          <w:highlight w:val="none"/>
          <w:lang w:val="sq-AL"/>
        </w:rPr>
        <w:t>2、关键技术指标</w:t>
      </w:r>
      <w:bookmarkEnd w:id="13"/>
      <w:bookmarkEnd w:id="14"/>
    </w:p>
    <w:p>
      <w:pPr>
        <w:spacing w:line="360" w:lineRule="auto"/>
        <w:rPr>
          <w:rFonts w:hint="eastAsia" w:ascii="宋体" w:hAnsi="宋体" w:eastAsia="宋体" w:cs="宋体"/>
          <w:sz w:val="24"/>
          <w:highlight w:val="none"/>
        </w:rPr>
      </w:pPr>
      <w:bookmarkStart w:id="15" w:name="_Toc511661033"/>
      <w:bookmarkStart w:id="16" w:name="_Toc511907077"/>
      <w:r>
        <w:rPr>
          <w:rFonts w:hint="eastAsia" w:ascii="宋体" w:hAnsi="宋体" w:eastAsia="宋体" w:cs="宋体"/>
          <w:sz w:val="24"/>
          <w:highlight w:val="none"/>
        </w:rPr>
        <w:t>（1）产品技术参数要求如下：</w:t>
      </w:r>
    </w:p>
    <w:tbl>
      <w:tblPr>
        <w:tblStyle w:val="7"/>
        <w:tblpPr w:vertAnchor="text" w:horzAnchor="margin" w:tblpY="158"/>
        <w:tblW w:w="9475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17"/>
        <w:gridCol w:w="1276"/>
        <w:gridCol w:w="6392"/>
        <w:gridCol w:w="99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</w:trPr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kern w:val="0"/>
                <w:sz w:val="24"/>
                <w:szCs w:val="24"/>
                <w:highlight w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kern w:val="0"/>
                <w:sz w:val="24"/>
                <w:szCs w:val="24"/>
                <w:highlight w:val="none"/>
              </w:rPr>
              <w:t>产品名称</w:t>
            </w:r>
          </w:p>
        </w:tc>
        <w:tc>
          <w:tcPr>
            <w:tcW w:w="6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520"/>
              </w:tabs>
              <w:jc w:val="center"/>
              <w:rPr>
                <w:rFonts w:hint="default" w:ascii="Times New Roman" w:hAnsi="Times New Roman" w:cs="Times New Roman"/>
                <w:b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kern w:val="0"/>
                <w:sz w:val="24"/>
                <w:szCs w:val="24"/>
                <w:highlight w:val="none"/>
              </w:rPr>
              <w:t>技术参数要求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tabs>
                <w:tab w:val="left" w:pos="420"/>
                <w:tab w:val="left" w:pos="8520"/>
              </w:tabs>
              <w:jc w:val="center"/>
              <w:rPr>
                <w:rFonts w:hint="eastAsia" w:ascii="Times New Roman" w:hAnsi="Times New Roman" w:eastAsia="宋体" w:cs="Times New Roman"/>
                <w:b/>
                <w:kern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b/>
                <w:kern w:val="0"/>
                <w:sz w:val="24"/>
                <w:szCs w:val="24"/>
                <w:highlight w:val="none"/>
                <w:lang w:eastAsia="zh-CN"/>
              </w:rPr>
              <w:t>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cs="Times New Roman"/>
                <w:b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b/>
                <w:kern w:val="0"/>
                <w:sz w:val="24"/>
                <w:szCs w:val="24"/>
                <w:highlight w:val="none"/>
              </w:rPr>
              <w:t>1</w:t>
            </w:r>
          </w:p>
          <w:p>
            <w:pPr>
              <w:widowControl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流量控制设备</w:t>
            </w:r>
          </w:p>
          <w:p>
            <w:pPr>
              <w:widowControl/>
              <w:spacing w:before="156" w:line="360" w:lineRule="auto"/>
              <w:jc w:val="center"/>
              <w:rPr>
                <w:rFonts w:hint="default" w:ascii="Times New Roman" w:hAnsi="Times New Roman" w:cs="Times New Roman"/>
                <w:b/>
                <w:kern w:val="0"/>
                <w:sz w:val="24"/>
                <w:szCs w:val="24"/>
                <w:highlight w:val="none"/>
              </w:rPr>
            </w:pPr>
          </w:p>
          <w:p>
            <w:pPr>
              <w:widowControl/>
              <w:spacing w:before="156" w:line="360" w:lineRule="auto"/>
              <w:jc w:val="center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</w:p>
        </w:tc>
        <w:tc>
          <w:tcPr>
            <w:tcW w:w="63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numPr>
                <w:ilvl w:val="0"/>
                <w:numId w:val="1"/>
              </w:numPr>
              <w:spacing w:before="156"/>
              <w:ind w:left="220" w:leftChars="0" w:hanging="220" w:firstLineChars="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 xml:space="preserve">★设备整机最大吞吐量&gt;=80Gbp，并发连接数最大支持1800万，并发IP数最大支持60万，每秒新建会话数 &gt;=100万/秒，PPS（包转发率）&gt;=1800万，NAT模式下单WAN IP并发会话数&gt;=90万； 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支持软硬件bypass；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220" w:leftChars="0" w:hanging="220" w:firstLineChars="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★2U标准机架式设备，冗余电源，设备实配10G/40GQSFP+端口不少于6个，40GQSFP+接口不少于4个，配置配套单模模块，一个独立管理接口，一个console口，2个USB接口。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220" w:leftChars="0" w:hanging="220" w:firstLineChars="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★支持双OS备份，主OS故障时，备份OS自动切换，切换时间小于10毫秒；（提供证明文件并加盖原厂公章）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220" w:leftChars="0" w:hanging="220" w:firstLineChars="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支持的N（N&gt;=12）条物理链路，数目和硬件接口数有关，不受软件限制；（提供证明文件并加盖原厂公章）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支持对整个系统进行全局策略管理和分析统计；支持对各条链路进行独立的策略管理和分析统计；（提供证明文件并加盖原厂公章）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支持路由、NAT、网桥和旁路分析的混合模式；（提供证明文件并加盖原厂公章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虚拟LAN接口和WAN线路最大支持≥600条；（提供证明文件并加盖原厂公章）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WAN口支持PPPOE拨号功能，自动检测链路状态，断线后自动拨号和支持计划定时重播；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 xml:space="preserve">每条线路独立健康检查；（提供证明文件并加盖原厂公章） 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支持端口映射，可以设置映射内网ip的某个端口或者某段连续的端口（如映射端口5000-6000）到某个WAN接口，或者某些WAN线路组成的线路群组上；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支持DHCP SERVER，可以基于VLAN等条件分配IP地址，可以支持多个DHCP SERVER。（提供证明文件并加盖原厂公章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★支持对P2P下载、 网络电视、网络游戏、Web视频(流媒体)和普通HTTP协议流量做应用分流。（提供证明文件并加盖原厂公章）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★可根据网络应用查询实际使用中的应用组成、协议、首包接口、客户时延、服务时延、应用时延、流量等信息。（提供证明文件并加盖原厂公章）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支持利用600条以上WAN线路进行分流；（提供证明文件并加盖原厂公章）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★支持基于域名的路由；（提供证明文件并加盖原厂公章）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支持600条WAN线路之间的负载均衡；（提供证明文件并加盖原厂公章）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负载均衡模式支持源IP、目标IP、源IP加目标IP、4元组（源IP、源端口、目标IP、目标端口）四种方式；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支持对2～7层流量的识别能力，特别是针对第 7层的应用识别能力，能够识别主要应用协议，并逐级细分P2P下载、网络视频、网络电话、游戏、HTTP协议的子类别和具体客户端名称，比如HTP协议---Web视频---土豆、网络游戏---移动游戏等；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支持国内各类常见协议&gt;=1000种，其中大型游戏&gt;=300种，移动APP应用&gt;=30种（将持续新增至&gt;=200种移动APP应用），现网协议识别率 &gt;= 95%（提供证明文件并加盖原厂公章）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支持DPI、DFI、节点跟踪、主动探测、加密分析等多种技术，对已经采用加密技术的P2P类应用比如BT、迅雷、Skype、eDonkey、Qvod、PPFilm、百度影音等精确识别；（提供证明文件并加盖原厂公章）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可以区分迅雷、网际快车等下载工具的HTTP下载和IE浏览器下载；支持“迅雷增强识别”，大幅度改进对迅雷加密流量识别；支持“P2P智能识别”，大幅度改进P2P加密协议识别；（提供证明文件并加盖原厂公章）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协议精细分类且必须包含：移动浏览器（如iPhone手机上网）、应用商店（如安卓市场、手机报等）、云服务、网络支付（招商银行、兴业银行等）、移动游戏（手机游戏、iPad游戏）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支持虚拟身份的识别，如QQ号码、MSN帐号、POP3帐号、新浪微博、百度贴吧等；（提供证明文件并加盖原厂公章）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支持基于全局、链路、数据流向、共享用户、移动终端、应用协议/协议组和IP/IP群组的速率控制；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支持允许、阻断、带宽限速等控制动作；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可根据时间和在线用户数等条件使用不同的策略组来控制流量。（提供证明文件并加盖原厂公章）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 xml:space="preserve">支持策略嵌套，在同一条策略中，既可以针对特定对象(IP或应用)进行总的数据通道控制，也可以单IP限速，同时可并列匹配“DSCP标记”等参数，实现策略的高度灵活性和简洁性；（提供证明文件并加盖原厂公章） 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控制参数包含：线路、数据流向、内网地址、外网地址、传输协议、应用协议、内网端口、外网端口、共享用户数、QQ用户数、移动终端数、执行动作、优先级、内网IP限速等；（提供证明文件并加盖原厂公章）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★支持检测并控制网关“一拖N”行为功能；能够及时检测通过路由共享上网的PC个数；可以根据PC终端个数做条件，对流量做控制（提供证明文件并加盖原厂公章）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支持基于IP地址的“优先级”调度功能，支持0-6七个优先级；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支持同时基于应用协议和IP地址的优先级调度功能；（提供证明文件并加盖原厂公章）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支持“动态IP限速”功能（智能调控）， 可在启用此功能的链路中，针对单个IP设置“加速比”、“减速比”、“速度维持时间”等参数，百分比模式设置；（提供证明文件并加盖原厂公章）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支持设置“带宽使用阀值”功能，可对具体链路设置“带宽使用下限”和“带宽使用上限”，百分比模式设置；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支持策略“启用”和“禁用”功能；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基于应用协议/协议组，支持针对内网每IP的TCP、UDP和总并发连接数控制；（提供证明文件并加盖原厂公章）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支持限制内网IP到外网特支持针对“DNS连接”的控制/不控制选项；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可根据数据链路、外网地址、内网地址和应用协议/协议组、内网端口、外网端口等参数制定连接数控制策略；（提供证明文件并加盖原厂公章）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支持第三方分类URL库手动上传，实现基于“类型”的URL过滤功能，URL库容量默认不低于10万条（可扩展）（提供截图并加盖原厂公章）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可设置内网IP最大并发连接数，超过这个阈值的连接不再创建；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★设备旁路模式下，支持URL重定向（提供证明文件并加盖原厂公章）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★可根据源IP、目标IP、访问域名、所在线路等组合条件实现对域名访问的控制；域名控制方式支持阻断、劫持和重定向和QPS限制；（提供证明文件并加盖原厂公章）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★可以对DNS QPS做限制，可以在一条策略里做总限制，同时对单IP再做一个子项限制；（提供截图并加盖原厂公章）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可根据源IP、目标IP、访问域名、所在线路等组合条件实现对域名访问的QPS速率做总量控制和单IP控制；（提供证明文件并加盖原厂公章）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★自动对移动终端型号进行识别，不依赖特征库（提供截图并加盖原厂公章）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对移动设备的网络访问进行控制和管理；支持黑名单，当误识别时，将时别错误的移动终端类型放入黑名单，避免误识别；（提供证明文件并加盖原厂公章）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PPPOE SERVER支持与Radius认证计费系统对接，并能接收Radius服务器下发的限速，踢掉在线用户等指令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可针对用户上线发布公告，用户到期提醒和过期提示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支持外部BAS认证（PPPOE旁路功能）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 xml:space="preserve">可提供整个系统、各链路的流量和连接数统计图表；可提供最近10分钟流量、累计流量、并发连接数统计图表实时显示各协议组的当前速率、连接数等统计信息，自动刷新；可提供最近一天、最近一周和最近一月的流量趋势图表；可提供上行流量、下行流量、并发连接数的“三日对比”趋势图； 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支持150万同时在线IP环境下，可实时显示每一个IP流量速率和当前各个应用的速率明细；可实时显示某个IP的当前速率及连接明细，以便于异常流量诊断（提供证明文件并加盖原厂公章）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★可提供IP对应的身份信息，如QQ号码、MSN帐号、POP3帐号、微博帐号等；可根据应用速率、流量和连接数等条件进行排序；（提供证明文件并加盖原厂公章）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年升级次数承诺总计不少于10次；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★对于用户要求识别的非加密类应用协议，承诺在72小时内完成特征库升级支持；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支持TOP连接排序，可以指定应用和IP条件进行IP（内网IP和外网IP均可）连接数排名统计，以快速定位攻击或被攻击IP（提供证明文件并加盖原厂公章）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支持“垃圾包”检测及过滤功能；支持“IP分片”攻击检测及过滤功能；支持对异常流量IP的实时查询、日志反查功能；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支持端口镜像功能；可根据设置条件将类如迅雷、网桥设备上行方向、某IP/IP段、iPhone手机上网流量、未知协议等流量等镜像至指定网络接口，与第三方审计设备联动，便于用户做精细化、个性化的数据分析；（提供截图并加盖原厂公章）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HTTP管控中，特别支持将WWW访问流量转发至指定网络接口，供第三方审计设备深入分析用户的网站访问习惯、兴趣等运营数据；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Web认证（可选“本地认证”或“第三方认证”）；支持Radius认证、AD域认证；支持“IP标注”功能；支持“管理日志”功能；支持“在线管理用户”显示及针对“非admin”强制下线功能；支持“系统告警”功能；支持“系统告警”远程输出及记录文件导出功能；支持“DDNS”远程管理设备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支持云平台集中管理设备；支持VLAN；支持VLAN Trunk；支持QinQ；“应用分流”功能中支持VLAN-Tag；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支持PPPOE帐号识别与IP关联统计功能；支持Radius帐号识别与IP关联统计功能；支持MAC黑名单功能；支持iftop功能，用来监控从某个网卡流入流量大的的Top IP，定位外网攻击源；支持ADSL定时重播；支持针对Gn接口数据包的解码，含GTP-C和GTP-U解码分析；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认证方式有本地认证，radius认证，AD域认证，第三方认证，微信认证；在本地认证时，可以将用户分组，并可以对不同的组做不同的策略；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可以旁路或串接模式下，深度分析RADIUS数据包，找到帐号和IP地址对应关系；可以旁路或串接模式下，深度分析RADIUS数据包，找到帐号的带宽限制参数，自动对相应IP做限速；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提供一个日志系统，日志系统支持会话日志，会话日志包含设备编号、接口、访问时间、源地址、目标地址、NAT地址、账号信息、域名、协议类型、7层协议名称、流量、运营商、地理位置一共13个元素。同时采用1:1 的日志输出，完整保留网络中的相关信息。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支持虚拟身份查询。通过QQ号码，微信ID，邮箱地址，淘宝账号，手机IMEI信息来查询到对应的IP地址；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 xml:space="preserve"> 支持“域名地图”，区域URL访问量数据分部图。例如：招生期间，可以看到那个省的用户对校园网主页，招生服务器访问排名。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可以对使用校园网IP的地理位置定位，协助校园网管理者找出私拉校园网线路行为；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日志系统提供校内任何IP的用户画像功能。可以分析该用户访问的地理区域，去往各个运营商比例，该用户的TOP协议排名图，用户访问流量趋势图，用访问连接趋势图和该用户访问域名排名、身份信息等；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日志系统支持对任何URL去往运营商统计，并提供比例饼图与统计数值；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日志系统支持“流量流向”统计功能，如去往电信、去往移动等，并提供比例饼图与统计数值；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日志系统支持对校内提供HTTP或者HTTPS访问的域名进行统计，发现校内教育网IP使用校外域名的情况；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日志系统支持对校内用户访问校外图书馆资源进行统计，提供对图书馆资源流量和下载排名，为我校明年购买图书馆资源作依据；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日志系统支持对校内用户下载校外图书馆次数作统计，提供下载排名，发现恶意下载用户。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日志系统支持TOP域名统计，提供校内用户访问校外的TOP URL统计；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日志系统支持报表功能：</w:t>
            </w:r>
          </w:p>
          <w:p>
            <w:pPr>
              <w:widowControl/>
              <w:spacing w:before="156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 xml:space="preserve">  报表创建、PDF格式导出；</w:t>
            </w:r>
          </w:p>
          <w:p>
            <w:pPr>
              <w:widowControl/>
              <w:spacing w:before="156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 xml:space="preserve">  各类分项日志支持Excel格式导出；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220" w:leftChars="0" w:hanging="220" w:firstLineChars="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设备制造商具有公安部信息安全产品销售许可证。提供有效证书的复印件；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设备制造商具有检测中心发布的《检测报告》；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设备制造商具有软件著作权证书；提供有效证书的复印件</w:t>
            </w:r>
          </w:p>
          <w:p>
            <w:pPr>
              <w:widowControl/>
              <w:numPr>
                <w:ilvl w:val="0"/>
                <w:numId w:val="1"/>
              </w:numPr>
              <w:spacing w:before="156"/>
              <w:ind w:left="42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★提供针对本项目的原厂商授权。</w:t>
            </w:r>
          </w:p>
          <w:p>
            <w:pPr>
              <w:widowControl/>
              <w:numPr>
                <w:ilvl w:val="0"/>
                <w:numId w:val="0"/>
              </w:numPr>
              <w:spacing w:before="156"/>
              <w:rPr>
                <w:rFonts w:hint="eastAsia" w:ascii="Times New Roman" w:hAnsi="Times New Roman" w:cs="Times New Roman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highlight w:val="none"/>
                <w:lang w:val="en-US" w:eastAsia="zh-CN"/>
              </w:rPr>
              <w:t xml:space="preserve">80. </w:t>
            </w:r>
            <w:r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</w:rPr>
              <w:t>★提供针对本项目的原厂商售后服务承诺。</w:t>
            </w:r>
          </w:p>
        </w:tc>
        <w:tc>
          <w:tcPr>
            <w:tcW w:w="9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numPr>
                <w:ilvl w:val="0"/>
                <w:numId w:val="0"/>
              </w:numPr>
              <w:tabs>
                <w:tab w:val="right" w:pos="-1048"/>
              </w:tabs>
              <w:spacing w:before="156"/>
              <w:ind w:firstLine="240" w:firstLineChars="100"/>
              <w:rPr>
                <w:rFonts w:hint="default" w:ascii="Times New Roman" w:hAnsi="Times New Roman" w:cs="Times New Roman"/>
                <w:kern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kern w:val="0"/>
                <w:sz w:val="24"/>
                <w:szCs w:val="24"/>
                <w:highlight w:val="none"/>
                <w:lang w:val="en-US" w:eastAsia="zh-CN"/>
              </w:rPr>
              <w:t>4台</w:t>
            </w:r>
          </w:p>
        </w:tc>
      </w:tr>
    </w:tbl>
    <w:p>
      <w:pPr>
        <w:pStyle w:val="2"/>
        <w:ind w:left="0" w:leftChars="0" w:firstLine="0" w:firstLineChars="0"/>
        <w:jc w:val="left"/>
        <w:rPr>
          <w:rFonts w:hint="eastAsia"/>
          <w:highlight w:val="none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（2）本项目包含整体布线，其中主要线材要求如下：</w:t>
      </w:r>
    </w:p>
    <w:p>
      <w:pPr>
        <w:spacing w:line="360" w:lineRule="auto"/>
        <w:rPr>
          <w:rFonts w:hint="eastAsia"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单模光纤跳线：</w:t>
      </w:r>
      <w:r>
        <w:rPr>
          <w:rFonts w:ascii="宋体" w:hAnsi="宋体" w:cs="宋体"/>
          <w:sz w:val="24"/>
          <w:highlight w:val="none"/>
        </w:rPr>
        <w:t>LC-LC/LC-SC</w:t>
      </w:r>
      <w:r>
        <w:rPr>
          <w:rFonts w:hint="eastAsia" w:ascii="宋体" w:hAnsi="宋体" w:cs="宋体"/>
          <w:sz w:val="24"/>
          <w:highlight w:val="none"/>
        </w:rPr>
        <w:t>双芯单模光纤跳线；</w:t>
      </w:r>
      <w:r>
        <w:rPr>
          <w:rFonts w:ascii="宋体" w:hAnsi="宋体" w:cs="宋体"/>
          <w:sz w:val="24"/>
          <w:highlight w:val="none"/>
        </w:rPr>
        <w:t xml:space="preserve"> </w:t>
      </w:r>
      <w:r>
        <w:rPr>
          <w:rFonts w:hint="eastAsia" w:ascii="宋体" w:hAnsi="宋体" w:cs="宋体"/>
          <w:sz w:val="24"/>
          <w:highlight w:val="none"/>
        </w:rPr>
        <w:t>长度</w:t>
      </w:r>
      <w:r>
        <w:rPr>
          <w:rFonts w:ascii="宋体" w:hAnsi="宋体" w:cs="宋体"/>
          <w:sz w:val="24"/>
          <w:highlight w:val="none"/>
        </w:rPr>
        <w:t>5-30</w:t>
      </w:r>
      <w:r>
        <w:rPr>
          <w:rFonts w:hint="eastAsia" w:ascii="宋体" w:hAnsi="宋体" w:cs="宋体"/>
          <w:sz w:val="24"/>
          <w:highlight w:val="none"/>
        </w:rPr>
        <w:t>米</w:t>
      </w:r>
    </w:p>
    <w:p>
      <w:pPr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多模光纤跳线：</w:t>
      </w:r>
      <w:r>
        <w:rPr>
          <w:rFonts w:ascii="宋体" w:hAnsi="宋体" w:cs="宋体"/>
          <w:sz w:val="24"/>
          <w:highlight w:val="none"/>
        </w:rPr>
        <w:t>LC/LC</w:t>
      </w:r>
      <w:r>
        <w:rPr>
          <w:rFonts w:hint="eastAsia" w:ascii="宋体" w:hAnsi="宋体" w:cs="宋体"/>
          <w:sz w:val="24"/>
          <w:highlight w:val="none"/>
        </w:rPr>
        <w:t>双芯多模光纤跳线，</w:t>
      </w:r>
      <w:r>
        <w:rPr>
          <w:rFonts w:ascii="宋体" w:hAnsi="宋体" w:cs="宋体"/>
          <w:sz w:val="24"/>
          <w:highlight w:val="none"/>
        </w:rPr>
        <w:t>OM3</w:t>
      </w:r>
      <w:r>
        <w:rPr>
          <w:rFonts w:hint="eastAsia" w:ascii="宋体" w:hAnsi="宋体" w:cs="宋体"/>
          <w:sz w:val="24"/>
          <w:highlight w:val="none"/>
        </w:rPr>
        <w:t>级别；</w:t>
      </w:r>
    </w:p>
    <w:p>
      <w:pPr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性能超过</w:t>
      </w:r>
      <w:r>
        <w:rPr>
          <w:rFonts w:ascii="宋体" w:hAnsi="宋体" w:cs="宋体"/>
          <w:sz w:val="24"/>
          <w:highlight w:val="none"/>
        </w:rPr>
        <w:t>ANSI/TIA 568-C.3</w:t>
      </w:r>
      <w:r>
        <w:rPr>
          <w:rFonts w:hint="eastAsia" w:ascii="宋体" w:hAnsi="宋体" w:cs="宋体"/>
          <w:sz w:val="24"/>
          <w:highlight w:val="none"/>
        </w:rPr>
        <w:t>标准；</w:t>
      </w:r>
    </w:p>
    <w:p>
      <w:pPr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性能超过</w:t>
      </w:r>
      <w:r>
        <w:rPr>
          <w:rFonts w:ascii="宋体" w:hAnsi="宋体" w:cs="宋体"/>
          <w:sz w:val="24"/>
          <w:highlight w:val="none"/>
        </w:rPr>
        <w:t>1TU-TG.651</w:t>
      </w:r>
      <w:r>
        <w:rPr>
          <w:rFonts w:hint="eastAsia" w:ascii="宋体" w:hAnsi="宋体" w:cs="宋体"/>
          <w:sz w:val="24"/>
          <w:highlight w:val="none"/>
        </w:rPr>
        <w:t>的要求；</w:t>
      </w:r>
    </w:p>
    <w:p>
      <w:pPr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提供</w:t>
      </w:r>
      <w:r>
        <w:rPr>
          <w:rFonts w:ascii="宋体" w:hAnsi="宋体" w:cs="宋体"/>
          <w:sz w:val="24"/>
          <w:highlight w:val="none"/>
        </w:rPr>
        <w:t>OFNR</w:t>
      </w:r>
      <w:r>
        <w:rPr>
          <w:rFonts w:hint="eastAsia" w:ascii="宋体" w:hAnsi="宋体" w:cs="宋体"/>
          <w:sz w:val="24"/>
          <w:highlight w:val="none"/>
        </w:rPr>
        <w:t>阻燃要求；</w:t>
      </w:r>
    </w:p>
    <w:p>
      <w:pPr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长度</w:t>
      </w:r>
      <w:r>
        <w:rPr>
          <w:rFonts w:ascii="宋体" w:hAnsi="宋体" w:cs="宋体"/>
          <w:sz w:val="24"/>
          <w:highlight w:val="none"/>
        </w:rPr>
        <w:t>5-20</w:t>
      </w:r>
      <w:r>
        <w:rPr>
          <w:rFonts w:hint="eastAsia" w:ascii="宋体" w:hAnsi="宋体" w:cs="宋体"/>
          <w:sz w:val="24"/>
          <w:highlight w:val="none"/>
        </w:rPr>
        <w:t>米；</w:t>
      </w:r>
    </w:p>
    <w:p>
      <w:pPr>
        <w:spacing w:line="360" w:lineRule="auto"/>
        <w:rPr>
          <w:rFonts w:ascii="宋体" w:hAnsi="宋体" w:cs="宋体"/>
          <w:sz w:val="24"/>
          <w:highlight w:val="none"/>
        </w:rPr>
      </w:pPr>
      <w:r>
        <w:rPr>
          <w:rFonts w:hint="eastAsia" w:ascii="宋体" w:hAnsi="宋体" w:cs="宋体"/>
          <w:sz w:val="24"/>
          <w:highlight w:val="none"/>
        </w:rPr>
        <w:t>符合</w:t>
      </w:r>
      <w:r>
        <w:rPr>
          <w:rFonts w:ascii="宋体" w:hAnsi="宋体" w:cs="宋体"/>
          <w:sz w:val="24"/>
          <w:highlight w:val="none"/>
        </w:rPr>
        <w:t>GB 40311-2007</w:t>
      </w:r>
      <w:r>
        <w:rPr>
          <w:rFonts w:hint="eastAsia" w:ascii="宋体" w:hAnsi="宋体" w:cs="宋体"/>
          <w:sz w:val="24"/>
          <w:highlight w:val="none"/>
        </w:rPr>
        <w:t>、</w:t>
      </w:r>
      <w:r>
        <w:rPr>
          <w:rFonts w:ascii="宋体" w:hAnsi="宋体" w:cs="宋体"/>
          <w:sz w:val="24"/>
          <w:highlight w:val="none"/>
        </w:rPr>
        <w:t>IEC 60794-1</w:t>
      </w:r>
      <w:r>
        <w:rPr>
          <w:rFonts w:hint="eastAsia" w:ascii="宋体" w:hAnsi="宋体" w:cs="宋体"/>
          <w:sz w:val="24"/>
          <w:highlight w:val="none"/>
        </w:rPr>
        <w:t>、</w:t>
      </w:r>
      <w:r>
        <w:rPr>
          <w:rFonts w:ascii="宋体" w:hAnsi="宋体" w:cs="宋体"/>
          <w:sz w:val="24"/>
          <w:highlight w:val="none"/>
        </w:rPr>
        <w:t>ISO/IEC 11801-2002 ed2.0</w:t>
      </w:r>
      <w:r>
        <w:rPr>
          <w:rFonts w:hint="eastAsia" w:ascii="宋体" w:hAnsi="宋体" w:cs="宋体"/>
          <w:sz w:val="24"/>
          <w:highlight w:val="none"/>
        </w:rPr>
        <w:t>等标准。</w:t>
      </w:r>
    </w:p>
    <w:p>
      <w:pPr>
        <w:spacing w:line="360" w:lineRule="auto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3、项目验收及质保期</w:t>
      </w:r>
      <w:bookmarkEnd w:id="15"/>
      <w:bookmarkEnd w:id="16"/>
    </w:p>
    <w:p>
      <w:pPr>
        <w:spacing w:line="360" w:lineRule="auto"/>
        <w:rPr>
          <w:rFonts w:hint="eastAsia" w:ascii="宋体" w:hAnsi="宋体" w:eastAsia="宋体" w:cs="宋体"/>
          <w:sz w:val="24"/>
          <w:highlight w:val="none"/>
        </w:rPr>
      </w:pPr>
      <w:bookmarkStart w:id="17" w:name="_Toc511661034"/>
      <w:bookmarkStart w:id="18" w:name="_Toc511907078"/>
      <w:r>
        <w:rPr>
          <w:rFonts w:hint="eastAsia" w:ascii="宋体" w:hAnsi="宋体" w:eastAsia="宋体" w:cs="宋体"/>
          <w:sz w:val="24"/>
          <w:highlight w:val="none"/>
        </w:rPr>
        <w:t>合同签订后3个月内交付所有设备并安装调试实现所有功能可接受验收。</w:t>
      </w:r>
    </w:p>
    <w:p>
      <w:pPr>
        <w:spacing w:line="360" w:lineRule="auto"/>
        <w:rPr>
          <w:rFonts w:hint="eastAsia" w:ascii="宋体" w:hAnsi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项目免费质保周期为 5年。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sz w:val="24"/>
          <w:highlight w:val="none"/>
          <w:lang w:eastAsia="zh-CN"/>
        </w:rPr>
      </w:pPr>
      <w:r>
        <w:rPr>
          <w:rFonts w:hint="eastAsia" w:ascii="宋体" w:hAnsi="宋体" w:cs="宋体"/>
          <w:b/>
          <w:bCs/>
          <w:sz w:val="24"/>
          <w:highlight w:val="none"/>
        </w:rPr>
        <w:t>所有投标人须按照上述要求应答，按照指定的日期和验收要求供货，并承诺质保周期</w:t>
      </w:r>
      <w:r>
        <w:rPr>
          <w:rFonts w:hint="eastAsia" w:ascii="宋体" w:hAnsi="宋体" w:cs="宋体"/>
          <w:b/>
          <w:bCs/>
          <w:sz w:val="24"/>
          <w:highlight w:val="none"/>
          <w:lang w:val="en-US" w:eastAsia="zh-CN"/>
        </w:rPr>
        <w:t>,如不按照指定的日期和验收要求供货不承诺质保期应按无效标处理。</w:t>
      </w:r>
    </w:p>
    <w:p>
      <w:pPr>
        <w:spacing w:line="360" w:lineRule="auto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4、付款方式和条件</w:t>
      </w:r>
      <w:bookmarkEnd w:id="17"/>
      <w:bookmarkEnd w:id="18"/>
    </w:p>
    <w:p>
      <w:pPr>
        <w:spacing w:line="360" w:lineRule="auto"/>
        <w:rPr>
          <w:rFonts w:hint="eastAsia" w:ascii="宋体" w:hAnsi="宋体" w:eastAsia="宋体" w:cs="宋体"/>
          <w:sz w:val="24"/>
          <w:highlight w:val="none"/>
        </w:rPr>
      </w:pPr>
      <w:bookmarkStart w:id="19" w:name="_Toc511661035"/>
      <w:bookmarkStart w:id="20" w:name="_Toc511907079"/>
      <w:r>
        <w:rPr>
          <w:rFonts w:hint="eastAsia" w:ascii="宋体" w:hAnsi="宋体" w:eastAsia="宋体" w:cs="宋体"/>
          <w:sz w:val="24"/>
          <w:highlight w:val="none"/>
        </w:rPr>
        <w:t>付款方式：合同签订后付款中标金额50%，待验收合格后付款中标金额45%，自验收合格之日满一年且签订质保协议后付尾款中标金额5%</w:t>
      </w:r>
    </w:p>
    <w:p>
      <w:pPr>
        <w:spacing w:line="360" w:lineRule="auto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5、售后维护要求</w:t>
      </w:r>
      <w:bookmarkEnd w:id="19"/>
      <w:bookmarkEnd w:id="20"/>
    </w:p>
    <w:p>
      <w:pPr>
        <w:spacing w:line="360" w:lineRule="auto"/>
        <w:rPr>
          <w:rFonts w:hint="eastAsia" w:ascii="宋体" w:hAnsi="宋体" w:eastAsia="宋体" w:cs="宋体"/>
          <w:sz w:val="24"/>
          <w:highlight w:val="none"/>
        </w:rPr>
      </w:pPr>
      <w:bookmarkStart w:id="21" w:name="_Toc511661042"/>
      <w:bookmarkStart w:id="22" w:name="_Toc511907080"/>
      <w:r>
        <w:rPr>
          <w:rFonts w:hint="eastAsia" w:ascii="宋体" w:hAnsi="宋体" w:eastAsia="宋体" w:cs="宋体"/>
          <w:sz w:val="24"/>
          <w:highlight w:val="none"/>
        </w:rPr>
        <w:t>1.售后服务函</w:t>
      </w:r>
    </w:p>
    <w:tbl>
      <w:tblPr>
        <w:tblStyle w:val="7"/>
        <w:tblW w:w="0" w:type="auto"/>
        <w:tblInd w:w="9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0"/>
        <w:gridCol w:w="73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040" w:type="dxa"/>
            <w:noWrap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highlight w:val="none"/>
              </w:rPr>
              <w:t>售后服务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highlight w:val="none"/>
              </w:rPr>
              <w:t>承诺函要求</w:t>
            </w:r>
          </w:p>
        </w:tc>
        <w:tc>
          <w:tcPr>
            <w:tcW w:w="7332" w:type="dxa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highlight w:val="none"/>
              </w:rPr>
              <w:t>提供设备制造厂家的售后服务承诺函原件并加盖公章或投标专用章，招标时，装订在招标文件内</w:t>
            </w:r>
          </w:p>
        </w:tc>
      </w:tr>
    </w:tbl>
    <w:p>
      <w:pPr>
        <w:spacing w:line="360" w:lineRule="auto"/>
        <w:rPr>
          <w:rFonts w:hint="eastAsia" w:ascii="宋体" w:hAnsi="宋体" w:eastAsia="宋体" w:cs="宋体"/>
          <w:sz w:val="24"/>
          <w:highlight w:val="none"/>
        </w:rPr>
      </w:pPr>
      <w:r>
        <w:rPr>
          <w:rFonts w:hint="eastAsia" w:ascii="宋体" w:hAnsi="宋体" w:eastAsia="宋体" w:cs="宋体"/>
          <w:sz w:val="24"/>
          <w:highlight w:val="none"/>
        </w:rPr>
        <w:t>2.售后服务</w:t>
      </w:r>
    </w:p>
    <w:tbl>
      <w:tblPr>
        <w:tblStyle w:val="7"/>
        <w:tblW w:w="0" w:type="auto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0"/>
        <w:gridCol w:w="733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highlight w:val="none"/>
              </w:rPr>
              <w:t>质保年限</w:t>
            </w:r>
          </w:p>
        </w:tc>
        <w:tc>
          <w:tcPr>
            <w:tcW w:w="733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highlight w:val="none"/>
              </w:rPr>
              <w:t>所有软硬件设备提供不少于五年7*24小时的原厂免费质保（须提供原厂关于本项目服务承诺函证明材料，并加盖产品生产厂家印章）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2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highlight w:val="none"/>
              </w:rPr>
              <w:t>响应时间</w:t>
            </w:r>
          </w:p>
        </w:tc>
        <w:tc>
          <w:tcPr>
            <w:tcW w:w="733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highlight w:val="none"/>
              </w:rPr>
            </w:pPr>
            <w:r>
              <w:rPr>
                <w:rFonts w:hint="eastAsia" w:ascii="宋体" w:hAnsi="宋体" w:eastAsia="宋体" w:cs="宋体"/>
                <w:sz w:val="24"/>
                <w:highlight w:val="none"/>
              </w:rPr>
              <w:t>本次采购的所有硬件设备要求在哈尔滨本地有充足备件；故障响应时间不得超过 2 小时</w:t>
            </w:r>
          </w:p>
        </w:tc>
      </w:tr>
    </w:tbl>
    <w:p>
      <w:pPr>
        <w:pStyle w:val="4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highlight w:val="none"/>
        </w:rPr>
      </w:pPr>
      <w:r>
        <w:rPr>
          <w:rFonts w:hint="eastAsia"/>
          <w:highlight w:val="none"/>
        </w:rPr>
        <w:t>四、技术情报和资料的保密要求</w:t>
      </w:r>
      <w:bookmarkEnd w:id="21"/>
      <w:bookmarkEnd w:id="22"/>
    </w:p>
    <w:p>
      <w:pPr>
        <w:spacing w:line="360" w:lineRule="auto"/>
        <w:ind w:firstLine="480" w:firstLineChars="200"/>
        <w:rPr>
          <w:rFonts w:hint="eastAsia"/>
          <w:color w:val="000000"/>
          <w:sz w:val="24"/>
          <w:highlight w:val="none"/>
        </w:rPr>
      </w:pPr>
      <w:r>
        <w:rPr>
          <w:rFonts w:hint="eastAsia"/>
          <w:color w:val="000000"/>
          <w:sz w:val="24"/>
          <w:highlight w:val="none"/>
        </w:rPr>
        <w:t>采购甲乙双方均对对方提供的技术情报和资料承担保密义务，如需公开或向第三方提供，需经对方同意。乙方在工作中获取的甲方提供的信息、资料、数字均应予以严格保密，乙方负责本项目的人员不得向任何单位和个人泄密。如因泄密造成后果的，乙方应承担全部法律的责任。乙方对甲方提供的信息资料等在完成合作后返还甲方。</w:t>
      </w:r>
    </w:p>
    <w:p>
      <w:pPr>
        <w:spacing w:line="360" w:lineRule="auto"/>
        <w:ind w:firstLine="480" w:firstLineChars="200"/>
        <w:rPr>
          <w:rFonts w:hint="eastAsia"/>
          <w:color w:val="auto"/>
          <w:sz w:val="24"/>
          <w:highlight w:val="none"/>
        </w:rPr>
      </w:pPr>
      <w:r>
        <w:rPr>
          <w:rFonts w:hint="eastAsia"/>
          <w:color w:val="000000"/>
          <w:sz w:val="24"/>
          <w:highlight w:val="none"/>
        </w:rPr>
        <w:t>不论本合同是否变更、解除、终止，本条款长期有效。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946298"/>
    <w:multiLevelType w:val="multilevel"/>
    <w:tmpl w:val="5C946298"/>
    <w:lvl w:ilvl="0" w:tentative="0">
      <w:start w:val="1"/>
      <w:numFmt w:val="decimal"/>
      <w:lvlText w:val="%1."/>
      <w:lvlJc w:val="left"/>
      <w:pPr>
        <w:ind w:left="0" w:hanging="420"/>
      </w:pPr>
      <w:rPr>
        <w:rFonts w:hint="default" w:ascii="Times New Roman" w:hAnsi="Times New Roman" w:eastAsia="宋体"/>
        <w:w w:val="100"/>
        <w:sz w:val="21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hint="default" w:ascii="宋体" w:hAnsi="宋体" w:eastAsia="宋体"/>
        <w:w w:val="100"/>
        <w:sz w:val="20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default" w:ascii="宋体" w:hAnsi="宋体" w:eastAsia="宋体"/>
        <w:w w:val="100"/>
        <w:sz w:val="20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default" w:ascii="宋体" w:hAnsi="宋体" w:eastAsia="宋体"/>
        <w:w w:val="100"/>
        <w:sz w:val="20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default" w:ascii="宋体" w:hAnsi="宋体" w:eastAsia="宋体"/>
        <w:w w:val="100"/>
        <w:sz w:val="20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default" w:ascii="宋体" w:hAnsi="宋体" w:eastAsia="宋体"/>
        <w:w w:val="100"/>
        <w:sz w:val="20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default" w:ascii="宋体" w:hAnsi="宋体" w:eastAsia="宋体"/>
        <w:w w:val="100"/>
        <w:sz w:val="20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default" w:ascii="宋体" w:hAnsi="宋体" w:eastAsia="宋体"/>
        <w:w w:val="100"/>
        <w:sz w:val="20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default" w:ascii="宋体" w:hAnsi="宋体" w:eastAsia="宋体"/>
        <w:w w:val="100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2F7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240" w:after="240"/>
      <w:ind w:left="100" w:leftChars="100" w:right="100" w:rightChars="100"/>
      <w:jc w:val="center"/>
      <w:outlineLvl w:val="0"/>
    </w:pPr>
    <w:rPr>
      <w:rFonts w:eastAsia="黑体"/>
      <w:bCs/>
      <w:kern w:val="44"/>
      <w:sz w:val="44"/>
      <w:szCs w:val="44"/>
    </w:rPr>
  </w:style>
  <w:style w:type="paragraph" w:styleId="4">
    <w:name w:val="heading 2"/>
    <w:basedOn w:val="1"/>
    <w:next w:val="1"/>
    <w:qFormat/>
    <w:uiPriority w:val="9"/>
    <w:pPr>
      <w:keepNext/>
      <w:keepLines/>
      <w:outlineLvl w:val="1"/>
    </w:pPr>
    <w:rPr>
      <w:rFonts w:ascii="Arial" w:hAnsi="Arial" w:eastAsia="黑体"/>
      <w:bCs/>
      <w:sz w:val="28"/>
      <w:szCs w:val="32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列出段落1"/>
    <w:qFormat/>
    <w:uiPriority w:val="0"/>
    <w:pPr>
      <w:ind w:firstLine="420" w:firstLineChars="200"/>
      <w:jc w:val="center"/>
    </w:pPr>
    <w:rPr>
      <w:rFonts w:ascii="Calibri" w:hAnsi="Calibri" w:eastAsia="宋体" w:cs="Times New Roman"/>
      <w:szCs w:val="22"/>
      <w:lang w:val="en-US" w:eastAsia="zh-CN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page number"/>
    <w:basedOn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2020-12-22T01:35:29Z</dcterms:created>
  <dc:creator>Administrator.PC-20151222GRIG</dc:creator>
  <cp:lastModifiedBy>邱实</cp:lastModifiedBy>
  <dcterms:modified xsi:type="dcterms:W3CDTF">2020-12-22T01:35:47Z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