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30"/>
          <w:szCs w:val="30"/>
        </w:rPr>
      </w:pPr>
      <w:r>
        <w:rPr>
          <w:rFonts w:hint="eastAsia" w:ascii="宋体" w:hAnsi="宋体" w:cs="宋体"/>
          <w:b/>
          <w:bCs/>
          <w:sz w:val="30"/>
          <w:szCs w:val="30"/>
        </w:rPr>
        <w:t>技术规格及要求</w:t>
      </w:r>
    </w:p>
    <w:p>
      <w:pPr>
        <w:spacing w:line="360" w:lineRule="auto"/>
        <w:rPr>
          <w:rFonts w:hint="eastAsia" w:ascii="宋体" w:hAnsi="宋体"/>
          <w:b/>
          <w:color w:val="auto"/>
          <w:sz w:val="24"/>
          <w:highlight w:val="none"/>
        </w:rPr>
      </w:pPr>
      <w:r>
        <w:rPr>
          <w:rFonts w:hint="eastAsia" w:ascii="宋体" w:hAnsi="宋体"/>
          <w:b/>
          <w:color w:val="auto"/>
          <w:sz w:val="24"/>
          <w:highlight w:val="none"/>
        </w:rPr>
        <w:t>（一）采购标的需实现的功能或者目标，以及为落实采购政策需满足的要求；</w:t>
      </w:r>
    </w:p>
    <w:p>
      <w:pPr>
        <w:spacing w:line="360" w:lineRule="auto"/>
        <w:rPr>
          <w:rFonts w:hint="eastAsia" w:ascii="宋体" w:hAnsi="宋体"/>
          <w:b/>
          <w:color w:val="auto"/>
          <w:sz w:val="24"/>
          <w:highlight w:val="none"/>
        </w:rPr>
      </w:pPr>
      <w:r>
        <w:rPr>
          <w:rFonts w:hint="eastAsia" w:ascii="宋体" w:hAnsi="宋体"/>
          <w:b/>
          <w:color w:val="auto"/>
          <w:sz w:val="24"/>
          <w:highlight w:val="none"/>
        </w:rPr>
        <w:t>功能：该设备主要用于在地面演示验证阶段及在轨验证阶段时精确标定激光通信终端多维立体光路中光机轴夹角装调精度，可根据多维相对角度测试结果进行光路标定和修正，提升终端整体性能。</w:t>
      </w:r>
    </w:p>
    <w:p>
      <w:pPr>
        <w:spacing w:line="360" w:lineRule="auto"/>
        <w:rPr>
          <w:rFonts w:hint="eastAsia" w:ascii="宋体" w:hAnsi="宋体" w:eastAsia="宋体"/>
          <w:b/>
          <w:color w:val="auto"/>
          <w:sz w:val="24"/>
          <w:highlight w:val="none"/>
          <w:lang w:eastAsia="zh-CN"/>
        </w:rPr>
      </w:pPr>
      <w:r>
        <w:rPr>
          <w:rFonts w:hint="eastAsia" w:ascii="宋体" w:hAnsi="宋体"/>
          <w:b/>
          <w:color w:val="auto"/>
          <w:sz w:val="24"/>
          <w:highlight w:val="none"/>
        </w:rPr>
        <w:t>（二）采购标的需执行的国家相关标准、行业标准、地方标准或者其他标准、规范</w:t>
      </w:r>
      <w:r>
        <w:rPr>
          <w:rFonts w:hint="eastAsia" w:ascii="宋体" w:hAnsi="宋体"/>
          <w:b/>
          <w:color w:val="auto"/>
          <w:sz w:val="24"/>
          <w:highlight w:val="none"/>
          <w:lang w:eastAsia="zh-CN"/>
        </w:rPr>
        <w:t>：</w:t>
      </w:r>
    </w:p>
    <w:p>
      <w:pPr>
        <w:spacing w:line="360" w:lineRule="auto"/>
        <w:rPr>
          <w:rFonts w:hint="eastAsia" w:ascii="宋体" w:hAnsi="宋体"/>
          <w:b/>
          <w:color w:val="auto"/>
          <w:sz w:val="24"/>
          <w:highlight w:val="none"/>
        </w:rPr>
      </w:pPr>
      <w:r>
        <w:rPr>
          <w:rFonts w:hint="eastAsia" w:ascii="宋体" w:hAnsi="宋体"/>
          <w:b/>
          <w:color w:val="auto"/>
          <w:sz w:val="24"/>
          <w:highlight w:val="none"/>
        </w:rPr>
        <w:t>无。</w:t>
      </w:r>
    </w:p>
    <w:p>
      <w:pPr>
        <w:spacing w:line="360" w:lineRule="auto"/>
        <w:rPr>
          <w:rFonts w:hint="eastAsia" w:ascii="宋体" w:hAnsi="宋体"/>
          <w:b/>
          <w:color w:val="auto"/>
          <w:sz w:val="24"/>
          <w:highlight w:val="none"/>
        </w:rPr>
      </w:pPr>
      <w:r>
        <w:rPr>
          <w:rFonts w:hint="eastAsia" w:ascii="宋体" w:hAnsi="宋体"/>
          <w:b/>
          <w:color w:val="auto"/>
          <w:sz w:val="24"/>
          <w:highlight w:val="none"/>
        </w:rPr>
        <w:t>（三）采购标的需满足的质量、安全、技术规格、物理特性等要求；</w:t>
      </w:r>
    </w:p>
    <w:p>
      <w:pPr>
        <w:spacing w:line="360" w:lineRule="auto"/>
        <w:rPr>
          <w:rFonts w:hint="eastAsia" w:ascii="宋体" w:hAnsi="宋体"/>
          <w:b/>
          <w:color w:val="auto"/>
          <w:sz w:val="24"/>
          <w:highlight w:val="none"/>
        </w:rPr>
      </w:pPr>
      <w:r>
        <w:rPr>
          <w:rFonts w:hint="eastAsia" w:ascii="宋体" w:hAnsi="宋体"/>
          <w:b/>
          <w:color w:val="auto"/>
          <w:sz w:val="24"/>
          <w:highlight w:val="none"/>
        </w:rPr>
        <w:t>*1工作波段：254nm～2325nm;</w:t>
      </w:r>
    </w:p>
    <w:p>
      <w:pPr>
        <w:spacing w:line="360" w:lineRule="auto"/>
        <w:rPr>
          <w:rFonts w:hint="eastAsia" w:ascii="宋体" w:hAnsi="宋体"/>
          <w:b/>
          <w:color w:val="auto"/>
          <w:sz w:val="24"/>
          <w:highlight w:val="none"/>
        </w:rPr>
      </w:pPr>
      <w:r>
        <w:rPr>
          <w:rFonts w:hint="eastAsia" w:ascii="宋体" w:hAnsi="宋体"/>
          <w:b/>
          <w:color w:val="auto"/>
          <w:sz w:val="24"/>
          <w:highlight w:val="none"/>
        </w:rPr>
        <w:t>*2光电自准直管分辨率：0.036″;</w:t>
      </w:r>
    </w:p>
    <w:p>
      <w:pPr>
        <w:spacing w:line="360" w:lineRule="auto"/>
        <w:rPr>
          <w:rFonts w:hint="eastAsia" w:ascii="宋体" w:hAnsi="宋体"/>
          <w:b/>
          <w:color w:val="auto"/>
          <w:sz w:val="24"/>
          <w:highlight w:val="none"/>
        </w:rPr>
      </w:pPr>
      <w:r>
        <w:rPr>
          <w:rFonts w:hint="eastAsia" w:ascii="宋体" w:hAnsi="宋体"/>
          <w:b/>
          <w:color w:val="auto"/>
          <w:sz w:val="24"/>
          <w:highlight w:val="none"/>
        </w:rPr>
        <w:t>*3测量误差：0.6″;</w:t>
      </w:r>
    </w:p>
    <w:p>
      <w:pPr>
        <w:spacing w:line="360" w:lineRule="auto"/>
        <w:rPr>
          <w:rFonts w:hint="eastAsia" w:ascii="宋体" w:hAnsi="宋体"/>
          <w:b/>
          <w:color w:val="auto"/>
          <w:sz w:val="24"/>
          <w:highlight w:val="none"/>
        </w:rPr>
      </w:pPr>
      <w:r>
        <w:rPr>
          <w:rFonts w:hint="eastAsia" w:ascii="宋体" w:hAnsi="宋体"/>
          <w:b/>
          <w:color w:val="auto"/>
          <w:sz w:val="24"/>
          <w:highlight w:val="none"/>
        </w:rPr>
        <w:t>*4折射率测试精度：1×10-5;</w:t>
      </w:r>
    </w:p>
    <w:p>
      <w:pPr>
        <w:spacing w:line="360" w:lineRule="auto"/>
        <w:rPr>
          <w:rFonts w:hint="eastAsia" w:ascii="宋体" w:hAnsi="宋体"/>
          <w:b/>
          <w:color w:val="auto"/>
          <w:sz w:val="24"/>
          <w:highlight w:val="none"/>
        </w:rPr>
      </w:pPr>
      <w:r>
        <w:rPr>
          <w:rFonts w:hint="eastAsia" w:ascii="宋体" w:hAnsi="宋体"/>
          <w:b/>
          <w:color w:val="auto"/>
          <w:sz w:val="24"/>
          <w:highlight w:val="none"/>
        </w:rPr>
        <w:t>*5测量精度：长度不确定度MPEe=0.5＋L/500 微米，探测误差MPEp=0.5微米，白光测量分辨率0.05微米;</w:t>
      </w:r>
    </w:p>
    <w:p>
      <w:pPr>
        <w:spacing w:line="360" w:lineRule="auto"/>
        <w:rPr>
          <w:rFonts w:hint="eastAsia" w:ascii="宋体" w:hAnsi="宋体"/>
          <w:b/>
          <w:color w:val="auto"/>
          <w:sz w:val="24"/>
          <w:highlight w:val="none"/>
        </w:rPr>
      </w:pPr>
      <w:r>
        <w:rPr>
          <w:rFonts w:hint="eastAsia" w:ascii="宋体" w:hAnsi="宋体"/>
          <w:b/>
          <w:color w:val="auto"/>
          <w:sz w:val="24"/>
          <w:highlight w:val="none"/>
        </w:rPr>
        <w:t>6光栅尺采用微晶玻璃光栅尺，热膨胀系数≤0.5微米/℃</w:t>
      </w:r>
    </w:p>
    <w:p>
      <w:pPr>
        <w:spacing w:line="360" w:lineRule="auto"/>
        <w:rPr>
          <w:rFonts w:hint="eastAsia" w:ascii="宋体" w:hAnsi="宋体"/>
          <w:b/>
          <w:color w:val="auto"/>
          <w:sz w:val="24"/>
          <w:highlight w:val="none"/>
        </w:rPr>
      </w:pPr>
      <w:r>
        <w:rPr>
          <w:rFonts w:hint="eastAsia" w:ascii="宋体" w:hAnsi="宋体"/>
          <w:b/>
          <w:color w:val="auto"/>
          <w:sz w:val="24"/>
          <w:highlight w:val="none"/>
        </w:rPr>
        <w:t>7设备横梁、Z轴采用陶瓷材质</w:t>
      </w:r>
    </w:p>
    <w:p>
      <w:pPr>
        <w:spacing w:line="360" w:lineRule="auto"/>
        <w:rPr>
          <w:rFonts w:hint="eastAsia" w:ascii="宋体" w:hAnsi="宋体"/>
          <w:b/>
          <w:color w:val="auto"/>
          <w:sz w:val="24"/>
          <w:highlight w:val="none"/>
        </w:rPr>
      </w:pPr>
      <w:r>
        <w:rPr>
          <w:rFonts w:hint="eastAsia" w:ascii="宋体" w:hAnsi="宋体"/>
          <w:b/>
          <w:color w:val="auto"/>
          <w:sz w:val="24"/>
          <w:highlight w:val="none"/>
        </w:rPr>
        <w:t>8设备大理石平台固定，桥架移动</w:t>
      </w:r>
    </w:p>
    <w:p>
      <w:pPr>
        <w:spacing w:line="360" w:lineRule="auto"/>
        <w:rPr>
          <w:rFonts w:hint="eastAsia" w:ascii="宋体" w:hAnsi="宋体"/>
          <w:b/>
          <w:color w:val="auto"/>
          <w:sz w:val="24"/>
          <w:highlight w:val="none"/>
        </w:rPr>
      </w:pPr>
      <w:r>
        <w:rPr>
          <w:rFonts w:hint="eastAsia" w:ascii="宋体" w:hAnsi="宋体"/>
          <w:b/>
          <w:color w:val="auto"/>
          <w:sz w:val="24"/>
          <w:highlight w:val="none"/>
        </w:rPr>
        <w:t>9设备有效量程X≥700mm、Y≥900mm、Z≥500mm</w:t>
      </w:r>
    </w:p>
    <w:p>
      <w:pPr>
        <w:spacing w:line="360" w:lineRule="auto"/>
        <w:rPr>
          <w:rFonts w:hint="eastAsia" w:ascii="宋体" w:hAnsi="宋体"/>
          <w:b/>
          <w:color w:val="auto"/>
          <w:sz w:val="24"/>
          <w:highlight w:val="none"/>
        </w:rPr>
      </w:pPr>
      <w:r>
        <w:rPr>
          <w:rFonts w:hint="eastAsia" w:ascii="宋体" w:hAnsi="宋体"/>
          <w:b/>
          <w:color w:val="auto"/>
          <w:sz w:val="24"/>
          <w:highlight w:val="none"/>
        </w:rPr>
        <w:t>10支持多测头快换技术，配备固定测头、旋转测头、白光扫描测头</w:t>
      </w:r>
    </w:p>
    <w:p>
      <w:pPr>
        <w:spacing w:line="360" w:lineRule="auto"/>
        <w:rPr>
          <w:rFonts w:hint="eastAsia" w:ascii="宋体" w:hAnsi="宋体"/>
          <w:b/>
          <w:color w:val="auto"/>
          <w:sz w:val="24"/>
          <w:highlight w:val="none"/>
        </w:rPr>
      </w:pPr>
      <w:r>
        <w:rPr>
          <w:rFonts w:hint="eastAsia" w:ascii="宋体" w:hAnsi="宋体"/>
          <w:b/>
          <w:color w:val="auto"/>
          <w:sz w:val="24"/>
          <w:highlight w:val="none"/>
        </w:rPr>
        <w:t>（四）采购标的的数量、采购项目交付或者实施的时间和地点；</w:t>
      </w:r>
    </w:p>
    <w:p>
      <w:pPr>
        <w:spacing w:line="360" w:lineRule="auto"/>
        <w:rPr>
          <w:rFonts w:hint="eastAsia" w:ascii="宋体" w:hAnsi="宋体"/>
          <w:b/>
          <w:color w:val="auto"/>
          <w:sz w:val="24"/>
          <w:highlight w:val="none"/>
        </w:rPr>
      </w:pPr>
      <w:r>
        <w:rPr>
          <w:rFonts w:hint="eastAsia" w:ascii="宋体" w:hAnsi="宋体"/>
          <w:b/>
          <w:color w:val="auto"/>
          <w:sz w:val="24"/>
          <w:highlight w:val="none"/>
        </w:rPr>
        <w:t>数量：1套；</w:t>
      </w:r>
    </w:p>
    <w:p>
      <w:pPr>
        <w:spacing w:line="360" w:lineRule="auto"/>
        <w:rPr>
          <w:rFonts w:hint="eastAsia" w:ascii="宋体" w:hAnsi="宋体"/>
          <w:b/>
          <w:color w:val="auto"/>
          <w:sz w:val="24"/>
          <w:highlight w:val="none"/>
        </w:rPr>
      </w:pPr>
      <w:r>
        <w:rPr>
          <w:rFonts w:hint="eastAsia" w:ascii="宋体" w:hAnsi="宋体"/>
          <w:b/>
          <w:color w:val="auto"/>
          <w:sz w:val="24"/>
          <w:highlight w:val="none"/>
        </w:rPr>
        <w:t>交付周期：签订合同后6个月内；</w:t>
      </w:r>
    </w:p>
    <w:p>
      <w:pPr>
        <w:spacing w:line="360" w:lineRule="auto"/>
        <w:rPr>
          <w:rFonts w:hint="default" w:ascii="宋体" w:hAnsi="宋体" w:eastAsia="宋体"/>
          <w:b/>
          <w:color w:val="auto"/>
          <w:sz w:val="24"/>
          <w:highlight w:val="none"/>
          <w:lang w:val="en-US" w:eastAsia="zh-CN"/>
        </w:rPr>
      </w:pPr>
      <w:r>
        <w:rPr>
          <w:rFonts w:hint="eastAsia" w:ascii="宋体" w:hAnsi="宋体"/>
          <w:b/>
          <w:color w:val="auto"/>
          <w:sz w:val="24"/>
          <w:highlight w:val="none"/>
        </w:rPr>
        <w:t>地点：</w:t>
      </w:r>
      <w:r>
        <w:rPr>
          <w:rFonts w:hint="eastAsia" w:ascii="宋体" w:hAnsi="宋体"/>
          <w:b/>
          <w:color w:val="auto"/>
          <w:sz w:val="24"/>
          <w:highlight w:val="none"/>
          <w:lang w:val="en-US" w:eastAsia="zh-CN"/>
        </w:rPr>
        <w:t>哈尔滨工业大学</w:t>
      </w:r>
    </w:p>
    <w:p>
      <w:pPr>
        <w:spacing w:line="360" w:lineRule="auto"/>
        <w:rPr>
          <w:rFonts w:hint="eastAsia" w:ascii="宋体" w:hAnsi="宋体"/>
          <w:b/>
          <w:color w:val="auto"/>
          <w:sz w:val="24"/>
          <w:highlight w:val="none"/>
        </w:rPr>
      </w:pPr>
      <w:r>
        <w:rPr>
          <w:rFonts w:hint="eastAsia" w:ascii="宋体" w:hAnsi="宋体"/>
          <w:b/>
          <w:color w:val="auto"/>
          <w:sz w:val="24"/>
          <w:highlight w:val="none"/>
        </w:rPr>
        <w:t>（五）采购标的需满足的服务标准、期限、效率等要求；</w:t>
      </w:r>
    </w:p>
    <w:p>
      <w:pPr>
        <w:spacing w:line="360" w:lineRule="auto"/>
        <w:rPr>
          <w:rFonts w:hint="eastAsia" w:ascii="宋体" w:hAnsi="宋体"/>
          <w:b/>
          <w:color w:val="auto"/>
          <w:sz w:val="24"/>
          <w:highlight w:val="none"/>
        </w:rPr>
      </w:pPr>
      <w:r>
        <w:rPr>
          <w:rFonts w:hint="eastAsia" w:ascii="宋体" w:hAnsi="宋体"/>
          <w:b/>
          <w:color w:val="auto"/>
          <w:sz w:val="24"/>
          <w:highlight w:val="none"/>
        </w:rPr>
        <w:t>电话支持：7*24小时；</w:t>
      </w:r>
    </w:p>
    <w:p>
      <w:pPr>
        <w:spacing w:line="360" w:lineRule="auto"/>
        <w:rPr>
          <w:rFonts w:hint="eastAsia" w:ascii="宋体" w:hAnsi="宋体"/>
          <w:b/>
          <w:color w:val="auto"/>
          <w:sz w:val="24"/>
          <w:highlight w:val="none"/>
        </w:rPr>
      </w:pPr>
      <w:r>
        <w:rPr>
          <w:rFonts w:hint="eastAsia" w:ascii="宋体" w:hAnsi="宋体"/>
          <w:b/>
          <w:color w:val="auto"/>
          <w:sz w:val="24"/>
          <w:highlight w:val="none"/>
        </w:rPr>
        <w:t>售后时限：报修后24小时。</w:t>
      </w:r>
    </w:p>
    <w:p>
      <w:pPr>
        <w:spacing w:line="360" w:lineRule="auto"/>
        <w:rPr>
          <w:rFonts w:hint="eastAsia" w:ascii="宋体" w:hAnsi="宋体"/>
          <w:b/>
          <w:color w:val="auto"/>
          <w:sz w:val="24"/>
          <w:highlight w:val="none"/>
        </w:rPr>
      </w:pPr>
      <w:r>
        <w:rPr>
          <w:rFonts w:hint="eastAsia" w:ascii="宋体" w:hAnsi="宋体"/>
          <w:b/>
          <w:color w:val="auto"/>
          <w:sz w:val="24"/>
          <w:highlight w:val="none"/>
        </w:rPr>
        <w:t>（六）采购标的的验收标准；</w:t>
      </w:r>
    </w:p>
    <w:p>
      <w:pPr>
        <w:spacing w:line="360" w:lineRule="auto"/>
        <w:rPr>
          <w:rFonts w:hint="eastAsia" w:ascii="宋体" w:hAnsi="宋体"/>
          <w:b/>
          <w:color w:val="auto"/>
          <w:sz w:val="24"/>
          <w:highlight w:val="none"/>
        </w:rPr>
      </w:pPr>
      <w:r>
        <w:rPr>
          <w:rFonts w:hint="eastAsia" w:ascii="宋体" w:hAnsi="宋体"/>
          <w:b/>
          <w:color w:val="auto"/>
          <w:sz w:val="24"/>
          <w:highlight w:val="none"/>
        </w:rPr>
        <w:t>按技术要求验收。</w:t>
      </w:r>
    </w:p>
    <w:p>
      <w:pPr>
        <w:spacing w:line="360" w:lineRule="auto"/>
        <w:rPr>
          <w:rFonts w:hint="eastAsia" w:ascii="宋体" w:hAnsi="宋体"/>
          <w:b/>
          <w:color w:val="auto"/>
          <w:sz w:val="24"/>
          <w:highlight w:val="none"/>
        </w:rPr>
      </w:pPr>
      <w:r>
        <w:rPr>
          <w:rFonts w:hint="eastAsia" w:ascii="宋体" w:hAnsi="宋体"/>
          <w:b/>
          <w:color w:val="auto"/>
          <w:sz w:val="24"/>
          <w:highlight w:val="none"/>
        </w:rPr>
        <w:t>（七）采购标的的其他技术、服务等要求。</w:t>
      </w:r>
    </w:p>
    <w:p>
      <w:pPr>
        <w:spacing w:line="360" w:lineRule="auto"/>
        <w:rPr>
          <w:rFonts w:ascii="宋体" w:hAnsi="宋体"/>
          <w:b/>
          <w:color w:val="auto"/>
          <w:sz w:val="24"/>
          <w:highlight w:val="none"/>
        </w:rPr>
      </w:pPr>
      <w:r>
        <w:rPr>
          <w:rFonts w:hint="eastAsia" w:ascii="宋体" w:hAnsi="宋体"/>
          <w:b/>
          <w:color w:val="auto"/>
          <w:sz w:val="24"/>
          <w:highlight w:val="none"/>
        </w:rPr>
        <w:t>质保期：验收合格后12个月。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multilevel"/>
    <w:tmpl w:val="00000022"/>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12EAF80B"/>
    <w:multiLevelType w:val="multilevel"/>
    <w:tmpl w:val="12EAF80B"/>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decimal"/>
      <w:lvlText w:val="%3."/>
      <w:lvlJc w:val="right"/>
      <w:pPr>
        <w:ind w:left="0" w:firstLine="0"/>
      </w:pPr>
      <w:rPr>
        <w:rFonts w:hint="eastAsia"/>
      </w:rPr>
    </w:lvl>
    <w:lvl w:ilvl="3" w:tentative="0">
      <w:start w:val="1"/>
      <w:numFmt w:val="decimal"/>
      <w:lvlText w:val="1.%4."/>
      <w:lvlJc w:val="right"/>
      <w:pPr>
        <w:ind w:left="0" w:firstLine="0"/>
      </w:pPr>
      <w:rPr>
        <w:rFonts w:hint="eastAsia"/>
      </w:rPr>
    </w:lvl>
    <w:lvl w:ilvl="4" w:tentative="0">
      <w:start w:val="1"/>
      <w:numFmt w:val="decimal"/>
      <w:pStyle w:val="7"/>
      <w:suff w:val="nothing"/>
      <w:lvlText w:val="%5"/>
      <w:lvlJc w:val="left"/>
      <w:pPr>
        <w:tabs>
          <w:tab w:val="left" w:pos="0"/>
        </w:tabs>
        <w:ind w:left="0" w:firstLine="0"/>
      </w:pPr>
      <w:rPr>
        <w:rFonts w:hint="eastAsia" w:ascii="宋体" w:hAnsi="宋体" w:eastAsia="宋体" w:cs="宋体"/>
      </w:rPr>
    </w:lvl>
    <w:lvl w:ilvl="5" w:tentative="0">
      <w:start w:val="1"/>
      <w:numFmt w:val="decimal"/>
      <w:suff w:val="nothing"/>
      <w:lvlText w:val="%6"/>
      <w:lvlJc w:val="left"/>
      <w:pPr>
        <w:tabs>
          <w:tab w:val="left" w:pos="0"/>
        </w:tabs>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6563"/>
    <w:rsid w:val="00216563"/>
    <w:rsid w:val="003F75BE"/>
    <w:rsid w:val="00700EC4"/>
    <w:rsid w:val="00753E9B"/>
    <w:rsid w:val="00907729"/>
    <w:rsid w:val="00CD066F"/>
    <w:rsid w:val="2D5C6F50"/>
    <w:rsid w:val="5D231220"/>
    <w:rsid w:val="5D4F6666"/>
    <w:rsid w:val="7C8E3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4">
    <w:name w:val="heading 2"/>
    <w:basedOn w:val="1"/>
    <w:next w:val="1"/>
    <w:qFormat/>
    <w:uiPriority w:val="9"/>
    <w:pPr>
      <w:keepNext/>
      <w:keepLines/>
      <w:outlineLvl w:val="1"/>
    </w:pPr>
    <w:rPr>
      <w:rFonts w:ascii="Arial" w:hAnsi="Arial" w:eastAsia="黑体"/>
      <w:bCs/>
      <w:sz w:val="28"/>
      <w:szCs w:val="32"/>
    </w:rPr>
  </w:style>
  <w:style w:type="paragraph" w:styleId="5">
    <w:name w:val="heading 3"/>
    <w:basedOn w:val="1"/>
    <w:next w:val="1"/>
    <w:qFormat/>
    <w:uiPriority w:val="0"/>
    <w:pPr>
      <w:tabs>
        <w:tab w:val="left" w:pos="851"/>
      </w:tabs>
      <w:autoSpaceDE w:val="0"/>
      <w:autoSpaceDN w:val="0"/>
      <w:adjustRightInd w:val="0"/>
      <w:snapToGrid w:val="0"/>
      <w:spacing w:line="360" w:lineRule="auto"/>
      <w:outlineLvl w:val="2"/>
    </w:pPr>
    <w:rPr>
      <w:rFonts w:ascii="宋体"/>
      <w:kern w:val="0"/>
      <w:szCs w:val="20"/>
    </w:rPr>
  </w:style>
  <w:style w:type="paragraph" w:styleId="6">
    <w:name w:val="heading 4"/>
    <w:basedOn w:val="1"/>
    <w:next w:val="1"/>
    <w:qFormat/>
    <w:uiPriority w:val="0"/>
    <w:pPr>
      <w:keepNext/>
      <w:keepLines/>
      <w:numPr>
        <w:ilvl w:val="3"/>
        <w:numId w:val="1"/>
      </w:numPr>
      <w:spacing w:before="280" w:after="290" w:line="372" w:lineRule="auto"/>
      <w:outlineLvl w:val="3"/>
    </w:pPr>
    <w:rPr>
      <w:rFonts w:ascii="Arial" w:hAnsi="Arial" w:eastAsia="黑体"/>
      <w:b/>
      <w:bCs/>
      <w:sz w:val="28"/>
      <w:szCs w:val="28"/>
    </w:rPr>
  </w:style>
  <w:style w:type="paragraph" w:styleId="7">
    <w:name w:val="heading 5"/>
    <w:basedOn w:val="8"/>
    <w:next w:val="9"/>
    <w:qFormat/>
    <w:uiPriority w:val="0"/>
    <w:pPr>
      <w:keepNext/>
      <w:keepLines/>
      <w:numPr>
        <w:ilvl w:val="4"/>
        <w:numId w:val="2"/>
      </w:numPr>
      <w:spacing w:before="280" w:after="290" w:line="372" w:lineRule="auto"/>
      <w:outlineLvl w:val="4"/>
    </w:pPr>
    <w:rPr>
      <w:rFonts w:ascii="Calibri" w:hAnsi="Calibri"/>
      <w:spacing w:val="0"/>
      <w:w w:val="100"/>
      <w:kern w:val="2"/>
      <w:sz w:val="28"/>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line="360" w:lineRule="atLeast"/>
      <w:jc w:val="center"/>
      <w:textAlignment w:val="baseline"/>
    </w:pPr>
    <w:rPr>
      <w:kern w:val="0"/>
      <w:sz w:val="24"/>
      <w:szCs w:val="20"/>
    </w:rPr>
  </w:style>
  <w:style w:type="paragraph" w:customStyle="1" w:styleId="8">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styleId="9">
    <w:name w:val="Normal Indent"/>
    <w:basedOn w:val="1"/>
    <w:qFormat/>
    <w:uiPriority w:val="0"/>
    <w:pPr>
      <w:ind w:firstLine="420" w:firstLineChars="200"/>
    </w:p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5">
    <w:name w:val="page number"/>
    <w:basedOn w:val="14"/>
    <w:qFormat/>
    <w:uiPriority w:val="0"/>
  </w:style>
  <w:style w:type="paragraph" w:customStyle="1" w:styleId="16">
    <w:name w:val="列出段落1"/>
    <w:qFormat/>
    <w:uiPriority w:val="0"/>
    <w:pPr>
      <w:ind w:firstLine="420" w:firstLineChars="200"/>
      <w:jc w:val="center"/>
    </w:pPr>
    <w:rPr>
      <w:rFonts w:ascii="Calibri" w:hAnsi="Calibri" w:eastAsia="宋体" w:cs="Times New Roman"/>
      <w:szCs w:val="22"/>
      <w:lang w:val="en-US" w:eastAsia="zh-CN" w:bidi="ar-SA"/>
    </w:rPr>
  </w:style>
  <w:style w:type="paragraph" w:customStyle="1" w:styleId="17">
    <w:name w:val="_Style 1"/>
    <w:basedOn w:val="1"/>
    <w:qFormat/>
    <w:uiPriority w:val="1"/>
    <w:pPr>
      <w:ind w:firstLine="420" w:firstLineChars="200"/>
    </w:pPr>
  </w:style>
  <w:style w:type="paragraph" w:customStyle="1" w:styleId="18">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列表段落1"/>
    <w:basedOn w:val="1"/>
    <w:qFormat/>
    <w:uiPriority w:val="0"/>
    <w:pPr>
      <w:ind w:firstLine="420" w:firstLineChars="200"/>
    </w:pPr>
  </w:style>
  <w:style w:type="paragraph" w:customStyle="1" w:styleId="20">
    <w:name w:val="列表段落2"/>
    <w:basedOn w:val="1"/>
    <w:qFormat/>
    <w:uiPriority w:val="99"/>
    <w:pPr>
      <w:ind w:firstLine="420" w:firstLineChars="200"/>
    </w:pPr>
  </w:style>
  <w:style w:type="paragraph" w:customStyle="1" w:styleId="21">
    <w:name w:val="列表段落1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1041</Words>
  <Characters>376</Characters>
  <Lines>3</Lines>
  <Paragraphs>2</Paragraphs>
  <TotalTime>0</TotalTime>
  <ScaleCrop>false</ScaleCrop>
  <LinksUpToDate>false</LinksUpToDate>
  <CharactersWithSpaces>1415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2021-01-05T05:50:00Z</dcterms:created>
  <dc:creator>Administrator.PC-20151222GRIG</dc:creator>
  <cp:lastModifiedBy>✎﹏₯㎕﹍Carl✎超</cp:lastModifiedBy>
  <dcterms:modified xsi:type="dcterms:W3CDTF">2021-08-18T01:30:28Z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96C52BE531E747E8A21D545A379F7099</vt:lpwstr>
  </property>
</Properties>
</file>