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宋体" w:hAnsi="宋体" w:eastAsia="宋体"/>
          <w:b/>
          <w:color w:val="auto"/>
          <w:sz w:val="44"/>
          <w:szCs w:val="44"/>
          <w:lang w:val="sq-AL" w:eastAsia="zh-CN"/>
        </w:rPr>
      </w:pPr>
      <w:bookmarkStart w:id="0" w:name="_Toc86330455"/>
      <w:bookmarkStart w:id="6" w:name="_GoBack"/>
      <w:bookmarkEnd w:id="6"/>
      <w:r>
        <w:rPr>
          <w:rFonts w:hint="eastAsia" w:ascii="宋体" w:hAnsi="宋体" w:eastAsia="宋体"/>
          <w:b/>
          <w:color w:val="auto"/>
          <w:sz w:val="44"/>
          <w:szCs w:val="44"/>
          <w:lang w:val="sq-AL" w:eastAsia="zh-CN"/>
        </w:rPr>
        <w:t>采购人需求</w:t>
      </w:r>
    </w:p>
    <w:p>
      <w:pPr>
        <w:pStyle w:val="3"/>
        <w:spacing w:line="360" w:lineRule="auto"/>
        <w:rPr>
          <w:rFonts w:ascii="宋体" w:hAnsi="宋体" w:eastAsia="宋体"/>
          <w:b/>
          <w:color w:val="auto"/>
          <w:sz w:val="24"/>
          <w:szCs w:val="24"/>
          <w:lang w:val="sq-AL"/>
        </w:rPr>
      </w:pPr>
      <w:r>
        <w:rPr>
          <w:rFonts w:ascii="宋体" w:hAnsi="宋体" w:eastAsia="宋体"/>
          <w:b/>
          <w:color w:val="auto"/>
          <w:sz w:val="24"/>
          <w:szCs w:val="24"/>
          <w:lang w:val="sq-AL"/>
        </w:rPr>
        <w:t>一、项目名称（附带WBS编号）：</w:t>
      </w:r>
      <w:r>
        <w:rPr>
          <w:rFonts w:hint="eastAsia" w:ascii="宋体" w:hAnsi="宋体" w:eastAsia="宋体"/>
          <w:b/>
          <w:color w:val="auto"/>
          <w:sz w:val="24"/>
          <w:szCs w:val="24"/>
          <w:lang w:val="sq-AL"/>
        </w:rPr>
        <w:t>激光增强CVD晶体生长系统</w:t>
      </w:r>
      <w:bookmarkEnd w:id="0"/>
    </w:p>
    <w:p>
      <w:pPr>
        <w:pStyle w:val="3"/>
        <w:spacing w:line="360" w:lineRule="auto"/>
        <w:rPr>
          <w:rFonts w:ascii="宋体" w:hAnsi="宋体" w:eastAsia="宋体"/>
          <w:b/>
          <w:color w:val="auto"/>
          <w:sz w:val="24"/>
          <w:szCs w:val="24"/>
          <w:lang w:val="sq-AL"/>
        </w:rPr>
      </w:pPr>
      <w:bookmarkStart w:id="1" w:name="_Toc86330456"/>
      <w:r>
        <w:rPr>
          <w:rFonts w:ascii="宋体" w:hAnsi="宋体" w:eastAsia="宋体"/>
          <w:b/>
          <w:color w:val="auto"/>
          <w:sz w:val="24"/>
          <w:szCs w:val="24"/>
          <w:lang w:val="sq-AL"/>
        </w:rPr>
        <w:t>二、招标数量:1套</w:t>
      </w:r>
      <w:bookmarkEnd w:id="1"/>
    </w:p>
    <w:p>
      <w:pPr>
        <w:pStyle w:val="3"/>
        <w:rPr>
          <w:rFonts w:ascii="宋体" w:hAnsi="宋体" w:eastAsia="宋体"/>
          <w:b/>
          <w:color w:val="auto"/>
          <w:sz w:val="24"/>
          <w:szCs w:val="24"/>
          <w:lang w:val="sq-AL"/>
        </w:rPr>
      </w:pPr>
      <w:bookmarkStart w:id="2" w:name="_Toc86330457"/>
      <w:r>
        <w:rPr>
          <w:rFonts w:ascii="宋体" w:hAnsi="宋体" w:eastAsia="宋体"/>
          <w:b/>
          <w:color w:val="auto"/>
          <w:sz w:val="24"/>
          <w:szCs w:val="24"/>
          <w:lang w:val="sq-AL"/>
        </w:rPr>
        <w:t>三、技术参数及采购需求</w:t>
      </w:r>
      <w:bookmarkEnd w:id="2"/>
    </w:p>
    <w:p>
      <w:pPr>
        <w:rPr>
          <w:color w:val="auto"/>
          <w:lang w:val="sq-AL"/>
        </w:rPr>
      </w:pPr>
    </w:p>
    <w:p>
      <w:pPr>
        <w:pStyle w:val="2"/>
        <w:numPr>
          <w:ilvl w:val="0"/>
          <w:numId w:val="1"/>
        </w:numPr>
        <w:spacing w:line="360" w:lineRule="auto"/>
        <w:rPr>
          <w:color w:val="auto"/>
        </w:rPr>
      </w:pPr>
      <w:r>
        <w:rPr>
          <w:color w:val="auto"/>
        </w:rPr>
        <w:t>项目概述</w:t>
      </w:r>
    </w:p>
    <w:p>
      <w:pPr>
        <w:pStyle w:val="2"/>
        <w:spacing w:line="360" w:lineRule="auto"/>
        <w:rPr>
          <w:color w:val="auto"/>
        </w:rPr>
      </w:pPr>
      <w:r>
        <w:rPr>
          <w:color w:val="auto"/>
        </w:rPr>
        <w:t>1.1项目背景</w:t>
      </w:r>
    </w:p>
    <w:p>
      <w:pPr>
        <w:pStyle w:val="2"/>
        <w:spacing w:line="360" w:lineRule="auto"/>
        <w:rPr>
          <w:color w:val="auto"/>
        </w:rPr>
      </w:pPr>
      <w:r>
        <w:rPr>
          <w:color w:val="auto"/>
        </w:rPr>
        <w:t>本项目是“空间环境地面模拟装置”项目拟采购设备之一。该设备针对</w:t>
      </w:r>
      <w:r>
        <w:rPr>
          <w:rFonts w:hint="eastAsia"/>
          <w:color w:val="auto"/>
        </w:rPr>
        <w:t>空间光电探测需求</w:t>
      </w:r>
      <w:r>
        <w:rPr>
          <w:color w:val="auto"/>
        </w:rPr>
        <w:t>，</w:t>
      </w:r>
      <w:r>
        <w:rPr>
          <w:rFonts w:hint="eastAsia"/>
          <w:color w:val="auto"/>
        </w:rPr>
        <w:t>能够</w:t>
      </w:r>
      <w:r>
        <w:rPr>
          <w:color w:val="auto"/>
        </w:rPr>
        <w:t>实现</w:t>
      </w:r>
      <w:r>
        <w:rPr>
          <w:rFonts w:hint="eastAsia"/>
          <w:color w:val="auto"/>
        </w:rPr>
        <w:t>宽禁带</w:t>
      </w:r>
      <w:r>
        <w:rPr>
          <w:color w:val="auto"/>
        </w:rPr>
        <w:t>单晶金刚石等晶体材料的生长制备需求，为空间应用的晶体材料提供快速、大面积的制备</w:t>
      </w:r>
      <w:r>
        <w:rPr>
          <w:rFonts w:hint="eastAsia"/>
          <w:color w:val="auto"/>
        </w:rPr>
        <w:t>方法</w:t>
      </w:r>
      <w:r>
        <w:rPr>
          <w:color w:val="auto"/>
        </w:rPr>
        <w:t>，为晶体材料生长过程中的等离子体化学反应机制探测研究提供实验条件。</w:t>
      </w:r>
    </w:p>
    <w:p>
      <w:pPr>
        <w:pStyle w:val="2"/>
        <w:spacing w:line="360" w:lineRule="auto"/>
        <w:rPr>
          <w:color w:val="auto"/>
        </w:rPr>
      </w:pPr>
      <w:r>
        <w:rPr>
          <w:color w:val="auto"/>
        </w:rPr>
        <w:t>1.2功能及总体要求</w:t>
      </w:r>
    </w:p>
    <w:p>
      <w:pPr>
        <w:pStyle w:val="2"/>
        <w:spacing w:line="360" w:lineRule="auto"/>
        <w:rPr>
          <w:color w:val="auto"/>
        </w:rPr>
      </w:pPr>
      <w:r>
        <w:rPr>
          <w:rFonts w:hint="eastAsia"/>
          <w:color w:val="auto"/>
        </w:rPr>
        <w:t>激光增强CVD晶体生长系统</w:t>
      </w:r>
      <w:r>
        <w:rPr>
          <w:color w:val="auto"/>
        </w:rPr>
        <w:t>是“空间环境地面模拟装置”的</w:t>
      </w:r>
      <w:r>
        <w:rPr>
          <w:rFonts w:hint="eastAsia"/>
          <w:color w:val="auto"/>
        </w:rPr>
        <w:t>重要设备</w:t>
      </w:r>
      <w:r>
        <w:rPr>
          <w:color w:val="auto"/>
        </w:rPr>
        <w:t>，为空间光电材料及其它空间应用材料的制备提供</w:t>
      </w:r>
      <w:r>
        <w:rPr>
          <w:rFonts w:hint="eastAsia"/>
          <w:color w:val="auto"/>
        </w:rPr>
        <w:t>条件，</w:t>
      </w:r>
      <w:r>
        <w:rPr>
          <w:color w:val="auto"/>
        </w:rPr>
        <w:t>能够实现宽禁带单晶金刚石材料的</w:t>
      </w:r>
      <w:r>
        <w:rPr>
          <w:rFonts w:hint="eastAsia"/>
          <w:color w:val="auto"/>
        </w:rPr>
        <w:t>快速</w:t>
      </w:r>
      <w:r>
        <w:rPr>
          <w:color w:val="auto"/>
        </w:rPr>
        <w:t>制备。</w:t>
      </w:r>
    </w:p>
    <w:p>
      <w:pPr>
        <w:pStyle w:val="2"/>
        <w:numPr>
          <w:ilvl w:val="0"/>
          <w:numId w:val="1"/>
        </w:numPr>
        <w:spacing w:line="360" w:lineRule="auto"/>
        <w:rPr>
          <w:color w:val="auto"/>
        </w:rPr>
      </w:pPr>
      <w:r>
        <w:rPr>
          <w:color w:val="auto"/>
        </w:rPr>
        <w:t>招标范围和内容</w:t>
      </w:r>
    </w:p>
    <w:p>
      <w:pPr>
        <w:pStyle w:val="2"/>
        <w:spacing w:line="360" w:lineRule="auto"/>
        <w:rPr>
          <w:color w:val="auto"/>
        </w:rPr>
      </w:pPr>
      <w:r>
        <w:rPr>
          <w:color w:val="auto"/>
        </w:rPr>
        <w:t>2.1任务范围及任务分解结构</w:t>
      </w:r>
    </w:p>
    <w:p>
      <w:pPr>
        <w:pStyle w:val="2"/>
        <w:spacing w:line="360" w:lineRule="auto"/>
        <w:rPr>
          <w:color w:val="auto"/>
        </w:rPr>
      </w:pPr>
      <w:r>
        <w:rPr>
          <w:color w:val="auto"/>
        </w:rPr>
        <w:t>激光增强CVD系统包含激光器分系统和晶体生长分系统两部分。可实现功能包括：金刚石晶体材料高速生长制备。</w:t>
      </w:r>
    </w:p>
    <w:p>
      <w:pPr>
        <w:pStyle w:val="2"/>
        <w:spacing w:line="360" w:lineRule="auto"/>
        <w:rPr>
          <w:color w:val="auto"/>
        </w:rPr>
      </w:pPr>
      <w:r>
        <w:rPr>
          <w:color w:val="auto"/>
        </w:rPr>
        <w:t>2.2任务内容</w:t>
      </w:r>
    </w:p>
    <w:p>
      <w:pPr>
        <w:pStyle w:val="2"/>
        <w:spacing w:line="360" w:lineRule="auto"/>
        <w:rPr>
          <w:b/>
          <w:color w:val="auto"/>
        </w:rPr>
      </w:pPr>
      <w:r>
        <w:rPr>
          <w:color w:val="auto"/>
        </w:rPr>
        <w:t xml:space="preserve">表 </w:t>
      </w:r>
      <w:r>
        <w:rPr>
          <w:color w:val="auto"/>
        </w:rPr>
        <w:fldChar w:fldCharType="begin"/>
      </w:r>
      <w:r>
        <w:rPr>
          <w:color w:val="auto"/>
        </w:rPr>
        <w:instrText xml:space="preserve"> SEQ 表 \* ARABIC </w:instrText>
      </w:r>
      <w:r>
        <w:rPr>
          <w:color w:val="auto"/>
        </w:rPr>
        <w:fldChar w:fldCharType="separate"/>
      </w:r>
      <w:r>
        <w:rPr>
          <w:color w:val="auto"/>
        </w:rPr>
        <w:t>1</w:t>
      </w:r>
      <w:r>
        <w:rPr>
          <w:color w:val="auto"/>
        </w:rPr>
        <w:fldChar w:fldCharType="end"/>
      </w:r>
      <w:r>
        <w:rPr>
          <w:color w:val="auto"/>
        </w:rPr>
        <w:t>货物清单</w:t>
      </w:r>
    </w:p>
    <w:tbl>
      <w:tblPr>
        <w:tblStyle w:val="4"/>
        <w:tblW w:w="81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4687"/>
        <w:gridCol w:w="120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1065" w:type="dxa"/>
            <w:noWrap w:val="0"/>
            <w:vAlign w:val="center"/>
          </w:tcPr>
          <w:p>
            <w:pPr>
              <w:pStyle w:val="2"/>
              <w:spacing w:line="360" w:lineRule="exact"/>
              <w:jc w:val="center"/>
              <w:rPr>
                <w:bCs/>
                <w:color w:val="auto"/>
              </w:rPr>
            </w:pPr>
            <w:bookmarkStart w:id="3" w:name="_Hlk41064600"/>
            <w:r>
              <w:rPr>
                <w:bCs/>
                <w:color w:val="auto"/>
              </w:rPr>
              <w:t>序号</w:t>
            </w:r>
          </w:p>
        </w:tc>
        <w:tc>
          <w:tcPr>
            <w:tcW w:w="4687" w:type="dxa"/>
            <w:noWrap w:val="0"/>
            <w:vAlign w:val="center"/>
          </w:tcPr>
          <w:p>
            <w:pPr>
              <w:pStyle w:val="2"/>
              <w:spacing w:line="360" w:lineRule="exact"/>
              <w:jc w:val="center"/>
              <w:rPr>
                <w:bCs/>
                <w:color w:val="auto"/>
              </w:rPr>
            </w:pPr>
            <w:r>
              <w:rPr>
                <w:bCs/>
                <w:color w:val="auto"/>
              </w:rPr>
              <w:t>货物名称</w:t>
            </w:r>
          </w:p>
        </w:tc>
        <w:tc>
          <w:tcPr>
            <w:tcW w:w="1205" w:type="dxa"/>
            <w:noWrap w:val="0"/>
            <w:vAlign w:val="center"/>
          </w:tcPr>
          <w:p>
            <w:pPr>
              <w:pStyle w:val="2"/>
              <w:spacing w:line="360" w:lineRule="exact"/>
              <w:jc w:val="center"/>
              <w:rPr>
                <w:bCs/>
                <w:color w:val="auto"/>
              </w:rPr>
            </w:pPr>
            <w:r>
              <w:rPr>
                <w:bCs/>
                <w:color w:val="auto"/>
              </w:rPr>
              <w:t>数量</w:t>
            </w:r>
          </w:p>
        </w:tc>
        <w:tc>
          <w:tcPr>
            <w:tcW w:w="1205" w:type="dxa"/>
            <w:noWrap w:val="0"/>
            <w:vAlign w:val="center"/>
          </w:tcPr>
          <w:p>
            <w:pPr>
              <w:pStyle w:val="2"/>
              <w:spacing w:line="360" w:lineRule="exact"/>
              <w:jc w:val="center"/>
              <w:rPr>
                <w:bCs/>
                <w:color w:val="auto"/>
              </w:rPr>
            </w:pPr>
            <w:r>
              <w:rPr>
                <w:bCs/>
                <w:color w:val="auto"/>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noWrap w:val="0"/>
            <w:vAlign w:val="center"/>
          </w:tcPr>
          <w:p>
            <w:pPr>
              <w:pStyle w:val="2"/>
              <w:spacing w:line="360" w:lineRule="exact"/>
              <w:jc w:val="center"/>
              <w:rPr>
                <w:bCs/>
                <w:color w:val="auto"/>
              </w:rPr>
            </w:pPr>
          </w:p>
        </w:tc>
        <w:tc>
          <w:tcPr>
            <w:tcW w:w="4687" w:type="dxa"/>
            <w:noWrap w:val="0"/>
            <w:vAlign w:val="center"/>
          </w:tcPr>
          <w:p>
            <w:pPr>
              <w:pStyle w:val="2"/>
              <w:spacing w:line="360" w:lineRule="exact"/>
              <w:jc w:val="center"/>
              <w:rPr>
                <w:bCs/>
                <w:color w:val="auto"/>
              </w:rPr>
            </w:pPr>
            <w:r>
              <w:rPr>
                <w:bCs/>
                <w:color w:val="auto"/>
              </w:rPr>
              <w:t>激光增强CVD系统</w:t>
            </w:r>
          </w:p>
        </w:tc>
        <w:tc>
          <w:tcPr>
            <w:tcW w:w="1205" w:type="dxa"/>
            <w:noWrap w:val="0"/>
            <w:vAlign w:val="center"/>
          </w:tcPr>
          <w:p>
            <w:pPr>
              <w:pStyle w:val="2"/>
              <w:spacing w:line="360" w:lineRule="exact"/>
              <w:jc w:val="center"/>
              <w:rPr>
                <w:bCs/>
                <w:color w:val="auto"/>
              </w:rPr>
            </w:pPr>
            <w:r>
              <w:rPr>
                <w:bCs/>
                <w:color w:val="auto"/>
              </w:rPr>
              <w:t>1</w:t>
            </w:r>
          </w:p>
        </w:tc>
        <w:tc>
          <w:tcPr>
            <w:tcW w:w="1205" w:type="dxa"/>
            <w:noWrap w:val="0"/>
            <w:vAlign w:val="center"/>
          </w:tcPr>
          <w:p>
            <w:pPr>
              <w:pStyle w:val="2"/>
              <w:spacing w:line="360" w:lineRule="exact"/>
              <w:jc w:val="center"/>
              <w:rPr>
                <w:bCs/>
                <w:color w:val="auto"/>
              </w:rPr>
            </w:pPr>
            <w:r>
              <w:rPr>
                <w:bCs/>
                <w:color w:val="auto"/>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noWrap w:val="0"/>
            <w:vAlign w:val="center"/>
          </w:tcPr>
          <w:p>
            <w:pPr>
              <w:pStyle w:val="2"/>
              <w:spacing w:line="360" w:lineRule="exact"/>
              <w:jc w:val="center"/>
              <w:rPr>
                <w:bCs/>
                <w:color w:val="auto"/>
              </w:rPr>
            </w:pPr>
            <w:r>
              <w:rPr>
                <w:bCs/>
                <w:color w:val="auto"/>
              </w:rPr>
              <w:t>1</w:t>
            </w:r>
          </w:p>
        </w:tc>
        <w:tc>
          <w:tcPr>
            <w:tcW w:w="4687" w:type="dxa"/>
            <w:noWrap w:val="0"/>
            <w:vAlign w:val="center"/>
          </w:tcPr>
          <w:p>
            <w:pPr>
              <w:pStyle w:val="2"/>
              <w:spacing w:line="360" w:lineRule="exact"/>
              <w:jc w:val="center"/>
              <w:rPr>
                <w:color w:val="auto"/>
              </w:rPr>
            </w:pPr>
            <w:r>
              <w:rPr>
                <w:color w:val="auto"/>
              </w:rPr>
              <w:t>激光器分系统</w:t>
            </w:r>
          </w:p>
        </w:tc>
        <w:tc>
          <w:tcPr>
            <w:tcW w:w="1205" w:type="dxa"/>
            <w:noWrap w:val="0"/>
            <w:vAlign w:val="center"/>
          </w:tcPr>
          <w:p>
            <w:pPr>
              <w:pStyle w:val="2"/>
              <w:spacing w:line="360" w:lineRule="exact"/>
              <w:jc w:val="center"/>
              <w:rPr>
                <w:color w:val="auto"/>
              </w:rPr>
            </w:pPr>
            <w:r>
              <w:rPr>
                <w:color w:val="auto"/>
              </w:rPr>
              <w:t>1</w:t>
            </w:r>
          </w:p>
        </w:tc>
        <w:tc>
          <w:tcPr>
            <w:tcW w:w="1205" w:type="dxa"/>
            <w:noWrap w:val="0"/>
            <w:vAlign w:val="center"/>
          </w:tcPr>
          <w:p>
            <w:pPr>
              <w:pStyle w:val="2"/>
              <w:spacing w:line="360" w:lineRule="exact"/>
              <w:jc w:val="center"/>
              <w:rPr>
                <w:color w:val="auto"/>
              </w:rPr>
            </w:pPr>
            <w:r>
              <w:rPr>
                <w:color w:val="auto"/>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noWrap w:val="0"/>
            <w:vAlign w:val="center"/>
          </w:tcPr>
          <w:p>
            <w:pPr>
              <w:pStyle w:val="2"/>
              <w:spacing w:line="360" w:lineRule="exact"/>
              <w:jc w:val="center"/>
              <w:rPr>
                <w:bCs/>
                <w:color w:val="auto"/>
              </w:rPr>
            </w:pPr>
            <w:r>
              <w:rPr>
                <w:bCs/>
                <w:color w:val="auto"/>
              </w:rPr>
              <w:t>1.1</w:t>
            </w:r>
          </w:p>
        </w:tc>
        <w:tc>
          <w:tcPr>
            <w:tcW w:w="4687" w:type="dxa"/>
            <w:noWrap w:val="0"/>
            <w:vAlign w:val="center"/>
          </w:tcPr>
          <w:p>
            <w:pPr>
              <w:pStyle w:val="2"/>
              <w:spacing w:line="360" w:lineRule="exact"/>
              <w:jc w:val="center"/>
              <w:rPr>
                <w:color w:val="auto"/>
              </w:rPr>
            </w:pPr>
            <w:r>
              <w:rPr>
                <w:color w:val="auto"/>
              </w:rPr>
              <w:t>光学平台</w:t>
            </w:r>
          </w:p>
        </w:tc>
        <w:tc>
          <w:tcPr>
            <w:tcW w:w="1205" w:type="dxa"/>
            <w:noWrap w:val="0"/>
            <w:vAlign w:val="center"/>
          </w:tcPr>
          <w:p>
            <w:pPr>
              <w:pStyle w:val="2"/>
              <w:spacing w:line="360" w:lineRule="exact"/>
              <w:jc w:val="center"/>
              <w:rPr>
                <w:color w:val="auto"/>
              </w:rPr>
            </w:pPr>
            <w:r>
              <w:rPr>
                <w:color w:val="auto"/>
              </w:rPr>
              <w:t>1</w:t>
            </w:r>
          </w:p>
        </w:tc>
        <w:tc>
          <w:tcPr>
            <w:tcW w:w="1205" w:type="dxa"/>
            <w:noWrap w:val="0"/>
            <w:vAlign w:val="center"/>
          </w:tcPr>
          <w:p>
            <w:pPr>
              <w:pStyle w:val="2"/>
              <w:spacing w:line="360" w:lineRule="exact"/>
              <w:jc w:val="center"/>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noWrap w:val="0"/>
            <w:vAlign w:val="center"/>
          </w:tcPr>
          <w:p>
            <w:pPr>
              <w:pStyle w:val="2"/>
              <w:spacing w:line="360" w:lineRule="exact"/>
              <w:jc w:val="center"/>
              <w:rPr>
                <w:bCs/>
                <w:color w:val="auto"/>
              </w:rPr>
            </w:pPr>
            <w:r>
              <w:rPr>
                <w:bCs/>
                <w:color w:val="auto"/>
              </w:rPr>
              <w:t>1.2</w:t>
            </w:r>
          </w:p>
        </w:tc>
        <w:tc>
          <w:tcPr>
            <w:tcW w:w="4687" w:type="dxa"/>
            <w:noWrap w:val="0"/>
            <w:vAlign w:val="center"/>
          </w:tcPr>
          <w:p>
            <w:pPr>
              <w:pStyle w:val="2"/>
              <w:spacing w:line="360" w:lineRule="exact"/>
              <w:jc w:val="center"/>
              <w:rPr>
                <w:color w:val="auto"/>
              </w:rPr>
            </w:pPr>
            <w:r>
              <w:rPr>
                <w:color w:val="auto"/>
              </w:rPr>
              <w:t>激光光路系统</w:t>
            </w:r>
          </w:p>
        </w:tc>
        <w:tc>
          <w:tcPr>
            <w:tcW w:w="1205" w:type="dxa"/>
            <w:noWrap w:val="0"/>
            <w:vAlign w:val="center"/>
          </w:tcPr>
          <w:p>
            <w:pPr>
              <w:pStyle w:val="2"/>
              <w:spacing w:line="360" w:lineRule="exact"/>
              <w:jc w:val="center"/>
              <w:rPr>
                <w:color w:val="auto"/>
              </w:rPr>
            </w:pPr>
            <w:r>
              <w:rPr>
                <w:color w:val="auto"/>
              </w:rPr>
              <w:t>1</w:t>
            </w:r>
          </w:p>
        </w:tc>
        <w:tc>
          <w:tcPr>
            <w:tcW w:w="1205" w:type="dxa"/>
            <w:noWrap w:val="0"/>
            <w:vAlign w:val="center"/>
          </w:tcPr>
          <w:p>
            <w:pPr>
              <w:pStyle w:val="2"/>
              <w:spacing w:line="360" w:lineRule="exact"/>
              <w:jc w:val="center"/>
              <w:rPr>
                <w:color w:val="auto"/>
              </w:rPr>
            </w:pPr>
            <w:r>
              <w:rPr>
                <w:color w:val="auto"/>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noWrap w:val="0"/>
            <w:vAlign w:val="center"/>
          </w:tcPr>
          <w:p>
            <w:pPr>
              <w:pStyle w:val="2"/>
              <w:spacing w:line="360" w:lineRule="exact"/>
              <w:jc w:val="center"/>
              <w:rPr>
                <w:bCs/>
                <w:color w:val="auto"/>
              </w:rPr>
            </w:pPr>
            <w:r>
              <w:rPr>
                <w:bCs/>
                <w:color w:val="auto"/>
              </w:rPr>
              <w:t>1.3</w:t>
            </w:r>
          </w:p>
        </w:tc>
        <w:tc>
          <w:tcPr>
            <w:tcW w:w="4687" w:type="dxa"/>
            <w:noWrap w:val="0"/>
            <w:vAlign w:val="center"/>
          </w:tcPr>
          <w:p>
            <w:pPr>
              <w:pStyle w:val="2"/>
              <w:spacing w:line="360" w:lineRule="exact"/>
              <w:jc w:val="center"/>
              <w:rPr>
                <w:color w:val="auto"/>
              </w:rPr>
            </w:pPr>
            <w:r>
              <w:rPr>
                <w:color w:val="auto"/>
              </w:rPr>
              <w:t>激光发生器</w:t>
            </w:r>
          </w:p>
        </w:tc>
        <w:tc>
          <w:tcPr>
            <w:tcW w:w="1205" w:type="dxa"/>
            <w:noWrap w:val="0"/>
            <w:vAlign w:val="center"/>
          </w:tcPr>
          <w:p>
            <w:pPr>
              <w:pStyle w:val="2"/>
              <w:spacing w:line="360" w:lineRule="exact"/>
              <w:jc w:val="center"/>
              <w:rPr>
                <w:color w:val="auto"/>
              </w:rPr>
            </w:pPr>
            <w:r>
              <w:rPr>
                <w:color w:val="auto"/>
              </w:rPr>
              <w:t>1</w:t>
            </w:r>
          </w:p>
        </w:tc>
        <w:tc>
          <w:tcPr>
            <w:tcW w:w="1205" w:type="dxa"/>
            <w:noWrap w:val="0"/>
            <w:vAlign w:val="center"/>
          </w:tcPr>
          <w:p>
            <w:pPr>
              <w:pStyle w:val="2"/>
              <w:spacing w:line="360" w:lineRule="exact"/>
              <w:jc w:val="center"/>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noWrap w:val="0"/>
            <w:vAlign w:val="center"/>
          </w:tcPr>
          <w:p>
            <w:pPr>
              <w:pStyle w:val="2"/>
              <w:spacing w:line="360" w:lineRule="exact"/>
              <w:jc w:val="center"/>
              <w:rPr>
                <w:bCs/>
                <w:color w:val="auto"/>
              </w:rPr>
            </w:pPr>
            <w:r>
              <w:rPr>
                <w:bCs/>
                <w:color w:val="auto"/>
              </w:rPr>
              <w:t>2</w:t>
            </w:r>
          </w:p>
        </w:tc>
        <w:tc>
          <w:tcPr>
            <w:tcW w:w="4687" w:type="dxa"/>
            <w:noWrap w:val="0"/>
            <w:vAlign w:val="center"/>
          </w:tcPr>
          <w:p>
            <w:pPr>
              <w:pStyle w:val="2"/>
              <w:spacing w:line="360" w:lineRule="exact"/>
              <w:jc w:val="center"/>
              <w:rPr>
                <w:color w:val="auto"/>
              </w:rPr>
            </w:pPr>
            <w:r>
              <w:rPr>
                <w:color w:val="auto"/>
              </w:rPr>
              <w:t>晶体生长分系统</w:t>
            </w:r>
          </w:p>
        </w:tc>
        <w:tc>
          <w:tcPr>
            <w:tcW w:w="1205" w:type="dxa"/>
            <w:noWrap w:val="0"/>
            <w:vAlign w:val="center"/>
          </w:tcPr>
          <w:p>
            <w:pPr>
              <w:pStyle w:val="2"/>
              <w:spacing w:line="360" w:lineRule="exact"/>
              <w:jc w:val="center"/>
              <w:rPr>
                <w:color w:val="auto"/>
              </w:rPr>
            </w:pPr>
            <w:r>
              <w:rPr>
                <w:color w:val="auto"/>
              </w:rPr>
              <w:t>1</w:t>
            </w:r>
          </w:p>
        </w:tc>
        <w:tc>
          <w:tcPr>
            <w:tcW w:w="1205" w:type="dxa"/>
            <w:noWrap w:val="0"/>
            <w:vAlign w:val="center"/>
          </w:tcPr>
          <w:p>
            <w:pPr>
              <w:pStyle w:val="2"/>
              <w:spacing w:line="360" w:lineRule="exact"/>
              <w:jc w:val="center"/>
              <w:rPr>
                <w:color w:val="auto"/>
              </w:rPr>
            </w:pPr>
            <w:r>
              <w:rPr>
                <w:color w:val="auto"/>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noWrap w:val="0"/>
            <w:vAlign w:val="center"/>
          </w:tcPr>
          <w:p>
            <w:pPr>
              <w:pStyle w:val="2"/>
              <w:spacing w:line="360" w:lineRule="exact"/>
              <w:jc w:val="center"/>
              <w:rPr>
                <w:bCs/>
                <w:color w:val="auto"/>
              </w:rPr>
            </w:pPr>
            <w:r>
              <w:rPr>
                <w:bCs/>
                <w:color w:val="auto"/>
              </w:rPr>
              <w:t>2.1</w:t>
            </w:r>
          </w:p>
        </w:tc>
        <w:tc>
          <w:tcPr>
            <w:tcW w:w="4687" w:type="dxa"/>
            <w:noWrap w:val="0"/>
            <w:vAlign w:val="center"/>
          </w:tcPr>
          <w:p>
            <w:pPr>
              <w:pStyle w:val="2"/>
              <w:spacing w:line="360" w:lineRule="exact"/>
              <w:jc w:val="center"/>
              <w:rPr>
                <w:color w:val="auto"/>
              </w:rPr>
            </w:pPr>
            <w:r>
              <w:rPr>
                <w:color w:val="auto"/>
              </w:rPr>
              <w:t>射频CVD（集成化）</w:t>
            </w:r>
          </w:p>
        </w:tc>
        <w:tc>
          <w:tcPr>
            <w:tcW w:w="1205" w:type="dxa"/>
            <w:noWrap w:val="0"/>
            <w:vAlign w:val="center"/>
          </w:tcPr>
          <w:p>
            <w:pPr>
              <w:pStyle w:val="2"/>
              <w:spacing w:line="360" w:lineRule="exact"/>
              <w:jc w:val="center"/>
              <w:rPr>
                <w:color w:val="auto"/>
              </w:rPr>
            </w:pPr>
            <w:r>
              <w:rPr>
                <w:color w:val="auto"/>
              </w:rPr>
              <w:t>1</w:t>
            </w:r>
          </w:p>
        </w:tc>
        <w:tc>
          <w:tcPr>
            <w:tcW w:w="1205" w:type="dxa"/>
            <w:noWrap w:val="0"/>
            <w:vAlign w:val="center"/>
          </w:tcPr>
          <w:p>
            <w:pPr>
              <w:pStyle w:val="2"/>
              <w:spacing w:line="360" w:lineRule="exact"/>
              <w:jc w:val="center"/>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5" w:type="dxa"/>
            <w:noWrap w:val="0"/>
            <w:vAlign w:val="center"/>
          </w:tcPr>
          <w:p>
            <w:pPr>
              <w:pStyle w:val="2"/>
              <w:spacing w:line="360" w:lineRule="exact"/>
              <w:jc w:val="center"/>
              <w:rPr>
                <w:bCs/>
                <w:color w:val="auto"/>
              </w:rPr>
            </w:pPr>
            <w:r>
              <w:rPr>
                <w:bCs/>
                <w:color w:val="auto"/>
              </w:rPr>
              <w:t>3</w:t>
            </w:r>
          </w:p>
        </w:tc>
        <w:tc>
          <w:tcPr>
            <w:tcW w:w="4687" w:type="dxa"/>
            <w:noWrap w:val="0"/>
            <w:vAlign w:val="center"/>
          </w:tcPr>
          <w:p>
            <w:pPr>
              <w:pStyle w:val="2"/>
              <w:spacing w:line="360" w:lineRule="exact"/>
              <w:jc w:val="center"/>
              <w:rPr>
                <w:color w:val="auto"/>
              </w:rPr>
            </w:pPr>
            <w:r>
              <w:rPr>
                <w:color w:val="auto"/>
              </w:rPr>
              <w:t>配件包</w:t>
            </w:r>
          </w:p>
          <w:p>
            <w:pPr>
              <w:pStyle w:val="2"/>
              <w:spacing w:line="360" w:lineRule="exact"/>
              <w:jc w:val="center"/>
              <w:rPr>
                <w:color w:val="auto"/>
              </w:rPr>
            </w:pPr>
            <w:r>
              <w:rPr>
                <w:color w:val="auto"/>
              </w:rPr>
              <w:t>（设备使用及维护必备的工具、</w:t>
            </w:r>
            <w:r>
              <w:rPr>
                <w:rFonts w:hint="eastAsia"/>
                <w:color w:val="auto"/>
              </w:rPr>
              <w:t>实验材料</w:t>
            </w:r>
            <w:r>
              <w:rPr>
                <w:color w:val="auto"/>
              </w:rPr>
              <w:t>冷藏储藏柜、实验台、实验椅</w:t>
            </w:r>
            <w:r>
              <w:rPr>
                <w:rFonts w:hint="eastAsia"/>
                <w:color w:val="auto"/>
              </w:rPr>
              <w:t>、</w:t>
            </w:r>
            <w:r>
              <w:rPr>
                <w:color w:val="auto"/>
              </w:rPr>
              <w:t>实验室吸尘器等）</w:t>
            </w:r>
          </w:p>
        </w:tc>
        <w:tc>
          <w:tcPr>
            <w:tcW w:w="1205" w:type="dxa"/>
            <w:noWrap w:val="0"/>
            <w:vAlign w:val="center"/>
          </w:tcPr>
          <w:p>
            <w:pPr>
              <w:pStyle w:val="2"/>
              <w:spacing w:line="360" w:lineRule="exact"/>
              <w:jc w:val="center"/>
              <w:rPr>
                <w:color w:val="auto"/>
              </w:rPr>
            </w:pPr>
            <w:r>
              <w:rPr>
                <w:color w:val="auto"/>
              </w:rPr>
              <w:t>1</w:t>
            </w:r>
          </w:p>
        </w:tc>
        <w:tc>
          <w:tcPr>
            <w:tcW w:w="1205" w:type="dxa"/>
            <w:noWrap w:val="0"/>
            <w:vAlign w:val="center"/>
          </w:tcPr>
          <w:p>
            <w:pPr>
              <w:pStyle w:val="2"/>
              <w:spacing w:line="360" w:lineRule="exact"/>
              <w:jc w:val="center"/>
              <w:rPr>
                <w:color w:val="auto"/>
              </w:rPr>
            </w:pPr>
            <w:r>
              <w:rPr>
                <w:color w:val="auto"/>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noWrap w:val="0"/>
            <w:vAlign w:val="center"/>
          </w:tcPr>
          <w:p>
            <w:pPr>
              <w:pStyle w:val="2"/>
              <w:spacing w:line="360" w:lineRule="exact"/>
              <w:jc w:val="center"/>
              <w:rPr>
                <w:bCs/>
                <w:color w:val="auto"/>
              </w:rPr>
            </w:pPr>
            <w:r>
              <w:rPr>
                <w:bCs/>
                <w:color w:val="auto"/>
              </w:rPr>
              <w:t>4</w:t>
            </w:r>
          </w:p>
        </w:tc>
        <w:tc>
          <w:tcPr>
            <w:tcW w:w="4687" w:type="dxa"/>
            <w:noWrap w:val="0"/>
            <w:vAlign w:val="center"/>
          </w:tcPr>
          <w:p>
            <w:pPr>
              <w:pStyle w:val="2"/>
              <w:spacing w:line="360" w:lineRule="exact"/>
              <w:jc w:val="center"/>
              <w:rPr>
                <w:color w:val="auto"/>
              </w:rPr>
            </w:pPr>
            <w:r>
              <w:rPr>
                <w:color w:val="auto"/>
              </w:rPr>
              <w:t>配套外接硬件</w:t>
            </w:r>
          </w:p>
        </w:tc>
        <w:tc>
          <w:tcPr>
            <w:tcW w:w="1205" w:type="dxa"/>
            <w:noWrap w:val="0"/>
            <w:vAlign w:val="center"/>
          </w:tcPr>
          <w:p>
            <w:pPr>
              <w:pStyle w:val="2"/>
              <w:spacing w:line="360" w:lineRule="exact"/>
              <w:jc w:val="center"/>
              <w:rPr>
                <w:color w:val="auto"/>
              </w:rPr>
            </w:pPr>
            <w:r>
              <w:rPr>
                <w:color w:val="auto"/>
              </w:rPr>
              <w:t>1</w:t>
            </w:r>
          </w:p>
        </w:tc>
        <w:tc>
          <w:tcPr>
            <w:tcW w:w="1205" w:type="dxa"/>
            <w:noWrap w:val="0"/>
            <w:vAlign w:val="center"/>
          </w:tcPr>
          <w:p>
            <w:pPr>
              <w:pStyle w:val="2"/>
              <w:spacing w:line="360" w:lineRule="exact"/>
              <w:jc w:val="center"/>
              <w:rPr>
                <w:color w:val="auto"/>
              </w:rPr>
            </w:pPr>
            <w:r>
              <w:rPr>
                <w:color w:val="auto"/>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noWrap w:val="0"/>
            <w:vAlign w:val="center"/>
          </w:tcPr>
          <w:p>
            <w:pPr>
              <w:pStyle w:val="2"/>
              <w:spacing w:line="360" w:lineRule="exact"/>
              <w:jc w:val="center"/>
              <w:rPr>
                <w:bCs/>
                <w:color w:val="auto"/>
              </w:rPr>
            </w:pPr>
            <w:r>
              <w:rPr>
                <w:bCs/>
                <w:color w:val="auto"/>
              </w:rPr>
              <w:t>4.1</w:t>
            </w:r>
          </w:p>
        </w:tc>
        <w:tc>
          <w:tcPr>
            <w:tcW w:w="4687" w:type="dxa"/>
            <w:noWrap w:val="0"/>
            <w:vAlign w:val="center"/>
          </w:tcPr>
          <w:p>
            <w:pPr>
              <w:pStyle w:val="2"/>
              <w:spacing w:line="360" w:lineRule="exact"/>
              <w:jc w:val="center"/>
              <w:rPr>
                <w:color w:val="auto"/>
              </w:rPr>
            </w:pPr>
            <w:r>
              <w:rPr>
                <w:color w:val="auto"/>
              </w:rPr>
              <w:t>水循环冷却设备</w:t>
            </w:r>
          </w:p>
        </w:tc>
        <w:tc>
          <w:tcPr>
            <w:tcW w:w="1205" w:type="dxa"/>
            <w:noWrap w:val="0"/>
            <w:vAlign w:val="center"/>
          </w:tcPr>
          <w:p>
            <w:pPr>
              <w:pStyle w:val="2"/>
              <w:spacing w:line="360" w:lineRule="exact"/>
              <w:jc w:val="center"/>
              <w:rPr>
                <w:color w:val="auto"/>
              </w:rPr>
            </w:pPr>
            <w:r>
              <w:rPr>
                <w:color w:val="auto"/>
              </w:rPr>
              <w:t>1</w:t>
            </w:r>
          </w:p>
        </w:tc>
        <w:tc>
          <w:tcPr>
            <w:tcW w:w="1205" w:type="dxa"/>
            <w:noWrap w:val="0"/>
            <w:vAlign w:val="center"/>
          </w:tcPr>
          <w:p>
            <w:pPr>
              <w:pStyle w:val="2"/>
              <w:spacing w:line="360" w:lineRule="exact"/>
              <w:jc w:val="center"/>
              <w:rPr>
                <w:color w:val="auto"/>
              </w:rPr>
            </w:pPr>
            <w:r>
              <w:rPr>
                <w:color w:val="auto"/>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noWrap w:val="0"/>
            <w:vAlign w:val="center"/>
          </w:tcPr>
          <w:p>
            <w:pPr>
              <w:pStyle w:val="2"/>
              <w:spacing w:line="360" w:lineRule="exact"/>
              <w:jc w:val="center"/>
              <w:rPr>
                <w:bCs/>
                <w:color w:val="auto"/>
              </w:rPr>
            </w:pPr>
            <w:r>
              <w:rPr>
                <w:bCs/>
                <w:color w:val="auto"/>
              </w:rPr>
              <w:t>4.2</w:t>
            </w:r>
          </w:p>
        </w:tc>
        <w:tc>
          <w:tcPr>
            <w:tcW w:w="4687" w:type="dxa"/>
            <w:noWrap w:val="0"/>
            <w:vAlign w:val="center"/>
          </w:tcPr>
          <w:p>
            <w:pPr>
              <w:pStyle w:val="2"/>
              <w:spacing w:line="360" w:lineRule="exact"/>
              <w:jc w:val="center"/>
              <w:rPr>
                <w:color w:val="auto"/>
              </w:rPr>
            </w:pPr>
            <w:r>
              <w:rPr>
                <w:color w:val="auto"/>
              </w:rPr>
              <w:t>包含尾气处理的气路系统</w:t>
            </w:r>
          </w:p>
        </w:tc>
        <w:tc>
          <w:tcPr>
            <w:tcW w:w="1205" w:type="dxa"/>
            <w:noWrap w:val="0"/>
            <w:vAlign w:val="center"/>
          </w:tcPr>
          <w:p>
            <w:pPr>
              <w:pStyle w:val="2"/>
              <w:spacing w:line="360" w:lineRule="exact"/>
              <w:jc w:val="center"/>
              <w:rPr>
                <w:color w:val="auto"/>
              </w:rPr>
            </w:pPr>
            <w:r>
              <w:rPr>
                <w:color w:val="auto"/>
              </w:rPr>
              <w:t>1</w:t>
            </w:r>
          </w:p>
        </w:tc>
        <w:tc>
          <w:tcPr>
            <w:tcW w:w="1205" w:type="dxa"/>
            <w:noWrap w:val="0"/>
            <w:vAlign w:val="center"/>
          </w:tcPr>
          <w:p>
            <w:pPr>
              <w:pStyle w:val="2"/>
              <w:spacing w:line="360" w:lineRule="exact"/>
              <w:jc w:val="center"/>
              <w:rPr>
                <w:color w:val="auto"/>
              </w:rPr>
            </w:pPr>
            <w:r>
              <w:rPr>
                <w:color w:val="auto"/>
              </w:rPr>
              <w:t>套</w:t>
            </w:r>
          </w:p>
        </w:tc>
      </w:tr>
      <w:bookmarkEnd w:id="3"/>
    </w:tbl>
    <w:p>
      <w:pPr>
        <w:pStyle w:val="2"/>
        <w:numPr>
          <w:ilvl w:val="0"/>
          <w:numId w:val="1"/>
        </w:numPr>
        <w:spacing w:line="360" w:lineRule="auto"/>
        <w:rPr>
          <w:color w:val="auto"/>
        </w:rPr>
      </w:pPr>
      <w:r>
        <w:rPr>
          <w:color w:val="auto"/>
        </w:rPr>
        <w:t>产品的指标需求</w:t>
      </w:r>
    </w:p>
    <w:p>
      <w:pPr>
        <w:pStyle w:val="2"/>
        <w:spacing w:line="360" w:lineRule="auto"/>
        <w:rPr>
          <w:color w:val="auto"/>
        </w:rPr>
      </w:pPr>
      <w:r>
        <w:rPr>
          <w:color w:val="auto"/>
        </w:rPr>
        <w:t>激光增强CVD生长系统包含激光器及光路部分、等离子体生成及晶体生长沉积腔室、气路系统以及为各系统配备的水冷系统。技术指标要求：</w:t>
      </w:r>
    </w:p>
    <w:p>
      <w:pPr>
        <w:pStyle w:val="2"/>
        <w:numPr>
          <w:ilvl w:val="0"/>
          <w:numId w:val="2"/>
        </w:numPr>
        <w:spacing w:line="360" w:lineRule="auto"/>
        <w:rPr>
          <w:color w:val="auto"/>
        </w:rPr>
      </w:pPr>
      <w:r>
        <w:rPr>
          <w:rFonts w:hint="eastAsia"/>
          <w:color w:val="auto"/>
        </w:rPr>
        <w:t>激光光源</w:t>
      </w:r>
      <w:r>
        <w:rPr>
          <w:color w:val="auto"/>
        </w:rPr>
        <w:t>部分</w:t>
      </w:r>
    </w:p>
    <w:p>
      <w:pPr>
        <w:pStyle w:val="2"/>
        <w:numPr>
          <w:ilvl w:val="0"/>
          <w:numId w:val="3"/>
        </w:numPr>
        <w:tabs>
          <w:tab w:val="clear" w:pos="840"/>
        </w:tabs>
        <w:spacing w:line="360" w:lineRule="auto"/>
        <w:rPr>
          <w:color w:val="auto"/>
        </w:rPr>
      </w:pPr>
      <w:r>
        <w:rPr>
          <w:color w:val="auto"/>
        </w:rPr>
        <w:t>★脉冲激光器要求单脉冲能量不低于100 mJ</w:t>
      </w:r>
      <w:r>
        <w:rPr>
          <w:rFonts w:hint="eastAsia"/>
          <w:color w:val="auto"/>
        </w:rPr>
        <w:t>；</w:t>
      </w:r>
    </w:p>
    <w:p>
      <w:pPr>
        <w:pStyle w:val="2"/>
        <w:numPr>
          <w:ilvl w:val="0"/>
          <w:numId w:val="3"/>
        </w:numPr>
        <w:tabs>
          <w:tab w:val="clear" w:pos="840"/>
        </w:tabs>
        <w:spacing w:line="360" w:lineRule="auto"/>
        <w:rPr>
          <w:color w:val="auto"/>
        </w:rPr>
      </w:pPr>
      <w:r>
        <w:rPr>
          <w:color w:val="auto"/>
        </w:rPr>
        <w:t>★</w:t>
      </w:r>
      <w:r>
        <w:rPr>
          <w:rFonts w:hint="eastAsia"/>
          <w:color w:val="auto"/>
        </w:rPr>
        <w:t>单色化</w:t>
      </w:r>
      <w:r>
        <w:rPr>
          <w:color w:val="auto"/>
        </w:rPr>
        <w:t>激光</w:t>
      </w:r>
      <w:r>
        <w:rPr>
          <w:rFonts w:hint="eastAsia"/>
          <w:color w:val="auto"/>
        </w:rPr>
        <w:t>，</w:t>
      </w:r>
      <w:r>
        <w:rPr>
          <w:color w:val="auto"/>
        </w:rPr>
        <w:t>波长193 nm；</w:t>
      </w:r>
    </w:p>
    <w:p>
      <w:pPr>
        <w:pStyle w:val="2"/>
        <w:numPr>
          <w:ilvl w:val="0"/>
          <w:numId w:val="3"/>
        </w:numPr>
        <w:tabs>
          <w:tab w:val="clear" w:pos="840"/>
        </w:tabs>
        <w:spacing w:line="360" w:lineRule="auto"/>
        <w:rPr>
          <w:color w:val="auto"/>
        </w:rPr>
      </w:pPr>
      <w:r>
        <w:rPr>
          <w:color w:val="auto"/>
        </w:rPr>
        <w:t>★激光脉宽10-20 ns;</w:t>
      </w:r>
    </w:p>
    <w:p>
      <w:pPr>
        <w:pStyle w:val="2"/>
        <w:numPr>
          <w:ilvl w:val="0"/>
          <w:numId w:val="3"/>
        </w:numPr>
        <w:tabs>
          <w:tab w:val="clear" w:pos="840"/>
        </w:tabs>
        <w:spacing w:line="360" w:lineRule="auto"/>
        <w:rPr>
          <w:color w:val="auto"/>
        </w:rPr>
      </w:pPr>
      <w:r>
        <w:rPr>
          <w:color w:val="auto"/>
        </w:rPr>
        <w:t>★激光峰值功率密度不低于2kW/cm</w:t>
      </w:r>
      <w:r>
        <w:rPr>
          <w:color w:val="auto"/>
          <w:vertAlign w:val="superscript"/>
        </w:rPr>
        <w:t>2</w:t>
      </w:r>
      <w:r>
        <w:rPr>
          <w:color w:val="auto"/>
        </w:rPr>
        <w:t>;</w:t>
      </w:r>
    </w:p>
    <w:p>
      <w:pPr>
        <w:pStyle w:val="2"/>
        <w:numPr>
          <w:ilvl w:val="0"/>
          <w:numId w:val="3"/>
        </w:numPr>
        <w:tabs>
          <w:tab w:val="clear" w:pos="840"/>
        </w:tabs>
        <w:spacing w:line="360" w:lineRule="auto"/>
        <w:rPr>
          <w:color w:val="auto"/>
        </w:rPr>
      </w:pPr>
      <w:r>
        <w:rPr>
          <w:color w:val="auto"/>
        </w:rPr>
        <w:t>激光点位稳定性≤0.15mrad；</w:t>
      </w:r>
    </w:p>
    <w:p>
      <w:pPr>
        <w:pStyle w:val="2"/>
        <w:numPr>
          <w:ilvl w:val="0"/>
          <w:numId w:val="3"/>
        </w:numPr>
        <w:tabs>
          <w:tab w:val="clear" w:pos="840"/>
        </w:tabs>
        <w:spacing w:line="360" w:lineRule="auto"/>
        <w:rPr>
          <w:color w:val="auto"/>
          <w:highlight w:val="none"/>
        </w:rPr>
      </w:pPr>
      <w:r>
        <w:rPr>
          <w:color w:val="auto"/>
        </w:rPr>
        <w:t>★激光光路系统各窗口总透过率不</w:t>
      </w:r>
      <w:r>
        <w:rPr>
          <w:color w:val="auto"/>
          <w:highlight w:val="none"/>
        </w:rPr>
        <w:t>低于90%（光学窗口需包含质量合格证</w:t>
      </w:r>
      <w:r>
        <w:rPr>
          <w:rFonts w:hint="eastAsia"/>
          <w:color w:val="auto"/>
          <w:highlight w:val="none"/>
          <w:lang w:eastAsia="zh-CN"/>
        </w:rPr>
        <w:t>，</w:t>
      </w:r>
      <w:r>
        <w:rPr>
          <w:color w:val="auto"/>
          <w:highlight w:val="none"/>
        </w:rPr>
        <w:t>质量合格证</w:t>
      </w:r>
      <w:r>
        <w:rPr>
          <w:rFonts w:hint="eastAsia"/>
          <w:color w:val="auto"/>
          <w:highlight w:val="none"/>
          <w:lang w:eastAsia="zh-CN"/>
        </w:rPr>
        <w:t>需在生产设备后随货提供，投标文件中应做响应</w:t>
      </w:r>
      <w:r>
        <w:rPr>
          <w:color w:val="auto"/>
          <w:highlight w:val="none"/>
        </w:rPr>
        <w:t>）</w:t>
      </w:r>
      <w:r>
        <w:rPr>
          <w:rFonts w:hint="eastAsia"/>
          <w:color w:val="auto"/>
          <w:highlight w:val="none"/>
        </w:rPr>
        <w:t>；</w:t>
      </w:r>
    </w:p>
    <w:p>
      <w:pPr>
        <w:pStyle w:val="2"/>
        <w:numPr>
          <w:ilvl w:val="0"/>
          <w:numId w:val="3"/>
        </w:numPr>
        <w:tabs>
          <w:tab w:val="clear" w:pos="840"/>
        </w:tabs>
        <w:spacing w:line="360" w:lineRule="auto"/>
        <w:rPr>
          <w:color w:val="auto"/>
          <w:highlight w:val="none"/>
        </w:rPr>
      </w:pPr>
      <w:r>
        <w:rPr>
          <w:rFonts w:hint="eastAsia"/>
          <w:color w:val="auto"/>
          <w:highlight w:val="none"/>
        </w:rPr>
        <w:t>需包含将激光引入生长腔体的光路系统与安置其所用光学平台；</w:t>
      </w:r>
    </w:p>
    <w:p>
      <w:pPr>
        <w:pStyle w:val="2"/>
        <w:numPr>
          <w:ilvl w:val="0"/>
          <w:numId w:val="2"/>
        </w:numPr>
        <w:spacing w:line="360" w:lineRule="auto"/>
        <w:rPr>
          <w:color w:val="auto"/>
          <w:highlight w:val="none"/>
        </w:rPr>
      </w:pPr>
      <w:r>
        <w:rPr>
          <w:rFonts w:hint="eastAsia"/>
          <w:color w:val="auto"/>
          <w:highlight w:val="none"/>
        </w:rPr>
        <w:t>生长腔体</w:t>
      </w:r>
      <w:r>
        <w:rPr>
          <w:color w:val="auto"/>
          <w:highlight w:val="none"/>
        </w:rPr>
        <w:t>部分</w:t>
      </w:r>
    </w:p>
    <w:p>
      <w:pPr>
        <w:pStyle w:val="2"/>
        <w:numPr>
          <w:ilvl w:val="0"/>
          <w:numId w:val="3"/>
        </w:numPr>
        <w:tabs>
          <w:tab w:val="clear" w:pos="840"/>
        </w:tabs>
        <w:spacing w:line="360" w:lineRule="auto"/>
        <w:rPr>
          <w:color w:val="auto"/>
        </w:rPr>
      </w:pPr>
      <w:r>
        <w:rPr>
          <w:color w:val="auto"/>
        </w:rPr>
        <w:t>★气路系统至少包含氢气、甲烷、氧气、氮气、氩气及备用6路，单路气体流量安全上限不低于2000sccm，可燃尾气需经燃烧塔进行无害化处理；</w:t>
      </w:r>
    </w:p>
    <w:p>
      <w:pPr>
        <w:pStyle w:val="2"/>
        <w:numPr>
          <w:ilvl w:val="0"/>
          <w:numId w:val="3"/>
        </w:numPr>
        <w:tabs>
          <w:tab w:val="clear" w:pos="840"/>
        </w:tabs>
        <w:spacing w:line="360" w:lineRule="auto"/>
        <w:rPr>
          <w:color w:val="auto"/>
        </w:rPr>
      </w:pPr>
      <w:r>
        <w:rPr>
          <w:color w:val="auto"/>
        </w:rPr>
        <w:t>生长腔室为真空腔体，极限真空度6×10</w:t>
      </w:r>
      <w:r>
        <w:rPr>
          <w:color w:val="auto"/>
          <w:vertAlign w:val="superscript"/>
        </w:rPr>
        <w:t xml:space="preserve">-6 </w:t>
      </w:r>
      <w:r>
        <w:rPr>
          <w:color w:val="auto"/>
        </w:rPr>
        <w:t>Torr；</w:t>
      </w:r>
    </w:p>
    <w:p>
      <w:pPr>
        <w:pStyle w:val="2"/>
        <w:numPr>
          <w:ilvl w:val="0"/>
          <w:numId w:val="3"/>
        </w:numPr>
        <w:tabs>
          <w:tab w:val="clear" w:pos="840"/>
        </w:tabs>
        <w:spacing w:line="360" w:lineRule="auto"/>
        <w:rPr>
          <w:color w:val="auto"/>
        </w:rPr>
      </w:pPr>
      <w:r>
        <w:rPr>
          <w:color w:val="auto"/>
        </w:rPr>
        <w:t>★腔体内工作压力范围10~760 Torr</w:t>
      </w:r>
      <w:r>
        <w:rPr>
          <w:rFonts w:hint="eastAsia"/>
          <w:color w:val="auto"/>
        </w:rPr>
        <w:t>；</w:t>
      </w:r>
    </w:p>
    <w:p>
      <w:pPr>
        <w:pStyle w:val="2"/>
        <w:numPr>
          <w:ilvl w:val="0"/>
          <w:numId w:val="3"/>
        </w:numPr>
        <w:tabs>
          <w:tab w:val="clear" w:pos="840"/>
        </w:tabs>
        <w:spacing w:line="360" w:lineRule="auto"/>
        <w:rPr>
          <w:color w:val="auto"/>
        </w:rPr>
      </w:pPr>
      <w:r>
        <w:rPr>
          <w:color w:val="auto"/>
        </w:rPr>
        <w:t>腔室要求配备高精度真空计用于测量内部气压，测量范围</w:t>
      </w:r>
      <w:bookmarkStart w:id="4" w:name="OLE_LINK1"/>
      <w:r>
        <w:rPr>
          <w:color w:val="auto"/>
        </w:rPr>
        <w:t>10</w:t>
      </w:r>
      <w:r>
        <w:rPr>
          <w:color w:val="auto"/>
          <w:vertAlign w:val="superscript"/>
        </w:rPr>
        <w:t>-6</w:t>
      </w:r>
      <w:r>
        <w:rPr>
          <w:color w:val="auto"/>
        </w:rPr>
        <w:t>~760 Torr</w:t>
      </w:r>
      <w:bookmarkEnd w:id="4"/>
      <w:r>
        <w:rPr>
          <w:rFonts w:hint="eastAsia"/>
          <w:color w:val="auto"/>
        </w:rPr>
        <w:t>；</w:t>
      </w:r>
    </w:p>
    <w:p>
      <w:pPr>
        <w:pStyle w:val="2"/>
        <w:numPr>
          <w:ilvl w:val="0"/>
          <w:numId w:val="3"/>
        </w:numPr>
        <w:tabs>
          <w:tab w:val="clear" w:pos="840"/>
        </w:tabs>
        <w:spacing w:line="360" w:lineRule="auto"/>
        <w:rPr>
          <w:color w:val="auto"/>
        </w:rPr>
      </w:pPr>
      <w:r>
        <w:rPr>
          <w:color w:val="auto"/>
        </w:rPr>
        <w:t>气路需具备自洁能力；</w:t>
      </w:r>
    </w:p>
    <w:p>
      <w:pPr>
        <w:pStyle w:val="2"/>
        <w:numPr>
          <w:ilvl w:val="0"/>
          <w:numId w:val="2"/>
        </w:numPr>
        <w:spacing w:line="360" w:lineRule="auto"/>
        <w:rPr>
          <w:color w:val="auto"/>
        </w:rPr>
      </w:pPr>
      <w:r>
        <w:rPr>
          <w:rFonts w:hint="eastAsia"/>
          <w:color w:val="auto"/>
        </w:rPr>
        <w:t>射频组件</w:t>
      </w:r>
      <w:r>
        <w:rPr>
          <w:color w:val="auto"/>
        </w:rPr>
        <w:t>部分</w:t>
      </w:r>
    </w:p>
    <w:p>
      <w:pPr>
        <w:pStyle w:val="2"/>
        <w:numPr>
          <w:ilvl w:val="0"/>
          <w:numId w:val="3"/>
        </w:numPr>
        <w:tabs>
          <w:tab w:val="clear" w:pos="840"/>
        </w:tabs>
        <w:spacing w:line="360" w:lineRule="auto"/>
        <w:rPr>
          <w:color w:val="auto"/>
        </w:rPr>
      </w:pPr>
      <w:r>
        <w:rPr>
          <w:color w:val="auto"/>
        </w:rPr>
        <w:t>等离子体生成及沉积腔室的腔体材质为316不锈钢及以上规格的材料；</w:t>
      </w:r>
    </w:p>
    <w:p>
      <w:pPr>
        <w:pStyle w:val="2"/>
        <w:numPr>
          <w:ilvl w:val="0"/>
          <w:numId w:val="3"/>
        </w:numPr>
        <w:tabs>
          <w:tab w:val="clear" w:pos="840"/>
        </w:tabs>
        <w:spacing w:line="360" w:lineRule="auto"/>
        <w:rPr>
          <w:color w:val="auto"/>
        </w:rPr>
      </w:pPr>
      <w:r>
        <w:rPr>
          <w:color w:val="auto"/>
        </w:rPr>
        <w:t>★射频输出功率0.5-10kW；</w:t>
      </w:r>
    </w:p>
    <w:p>
      <w:pPr>
        <w:pStyle w:val="2"/>
        <w:numPr>
          <w:ilvl w:val="0"/>
          <w:numId w:val="3"/>
        </w:numPr>
        <w:tabs>
          <w:tab w:val="clear" w:pos="840"/>
        </w:tabs>
        <w:spacing w:line="360" w:lineRule="auto"/>
        <w:rPr>
          <w:color w:val="auto"/>
        </w:rPr>
      </w:pPr>
      <w:r>
        <w:rPr>
          <w:color w:val="auto"/>
        </w:rPr>
        <w:t>★设备稳定运行时反射功率不得超过50W，射频功率稳定度在全功率范围内≤±1%（射频网络匹配仪监测）；</w:t>
      </w:r>
    </w:p>
    <w:p>
      <w:pPr>
        <w:pStyle w:val="2"/>
        <w:numPr>
          <w:ilvl w:val="0"/>
          <w:numId w:val="3"/>
        </w:numPr>
        <w:tabs>
          <w:tab w:val="clear" w:pos="840"/>
        </w:tabs>
        <w:spacing w:line="360" w:lineRule="auto"/>
        <w:rPr>
          <w:color w:val="auto"/>
        </w:rPr>
      </w:pPr>
      <w:r>
        <w:rPr>
          <w:color w:val="auto"/>
        </w:rPr>
        <w:t>★等离子体生成腔室所生成等离子体密度＞2×10</w:t>
      </w:r>
      <w:r>
        <w:rPr>
          <w:color w:val="auto"/>
          <w:vertAlign w:val="superscript"/>
        </w:rPr>
        <w:t>12</w:t>
      </w:r>
      <w:r>
        <w:rPr>
          <w:color w:val="auto"/>
        </w:rPr>
        <w:t>/cm</w:t>
      </w:r>
      <w:r>
        <w:rPr>
          <w:color w:val="auto"/>
          <w:vertAlign w:val="superscript"/>
        </w:rPr>
        <w:t>3</w:t>
      </w:r>
      <w:r>
        <w:rPr>
          <w:color w:val="auto"/>
        </w:rPr>
        <w:t>（经光谱诊断）；射频线圈、等离子体生成腔室、沉积台需要具备循环水冷；</w:t>
      </w:r>
    </w:p>
    <w:p>
      <w:pPr>
        <w:pStyle w:val="2"/>
        <w:numPr>
          <w:ilvl w:val="0"/>
          <w:numId w:val="3"/>
        </w:numPr>
        <w:tabs>
          <w:tab w:val="clear" w:pos="840"/>
        </w:tabs>
        <w:spacing w:line="360" w:lineRule="auto"/>
        <w:rPr>
          <w:color w:val="auto"/>
        </w:rPr>
      </w:pPr>
      <w:r>
        <w:rPr>
          <w:color w:val="auto"/>
        </w:rPr>
        <w:t>射频系统需配备网络匹配仪用于匹配不同频率射频功率源；</w:t>
      </w:r>
    </w:p>
    <w:p>
      <w:pPr>
        <w:pStyle w:val="2"/>
        <w:numPr>
          <w:ilvl w:val="0"/>
          <w:numId w:val="2"/>
        </w:numPr>
        <w:spacing w:line="360" w:lineRule="auto"/>
        <w:rPr>
          <w:color w:val="auto"/>
        </w:rPr>
      </w:pPr>
      <w:r>
        <w:rPr>
          <w:rFonts w:hint="eastAsia"/>
          <w:color w:val="auto"/>
        </w:rPr>
        <w:t>沉积台部分</w:t>
      </w:r>
    </w:p>
    <w:p>
      <w:pPr>
        <w:pStyle w:val="2"/>
        <w:numPr>
          <w:ilvl w:val="0"/>
          <w:numId w:val="3"/>
        </w:numPr>
        <w:tabs>
          <w:tab w:val="clear" w:pos="840"/>
        </w:tabs>
        <w:spacing w:line="360" w:lineRule="auto"/>
        <w:rPr>
          <w:color w:val="auto"/>
        </w:rPr>
      </w:pPr>
      <w:r>
        <w:rPr>
          <w:color w:val="auto"/>
        </w:rPr>
        <w:t>★有效生长区域内最高金刚石生长速度0.5-1mm/h；</w:t>
      </w:r>
    </w:p>
    <w:p>
      <w:pPr>
        <w:pStyle w:val="2"/>
        <w:numPr>
          <w:ilvl w:val="0"/>
          <w:numId w:val="3"/>
        </w:numPr>
        <w:tabs>
          <w:tab w:val="clear" w:pos="840"/>
        </w:tabs>
        <w:spacing w:line="360" w:lineRule="auto"/>
        <w:rPr>
          <w:color w:val="auto"/>
        </w:rPr>
      </w:pPr>
      <w:r>
        <w:rPr>
          <w:color w:val="auto"/>
        </w:rPr>
        <w:t>★沉积台金刚石有效生长区域不低于φ80mm；</w:t>
      </w:r>
    </w:p>
    <w:p>
      <w:pPr>
        <w:pStyle w:val="2"/>
        <w:numPr>
          <w:ilvl w:val="0"/>
          <w:numId w:val="3"/>
        </w:numPr>
        <w:tabs>
          <w:tab w:val="clear" w:pos="840"/>
        </w:tabs>
        <w:spacing w:line="360" w:lineRule="auto"/>
        <w:rPr>
          <w:color w:val="auto"/>
        </w:rPr>
      </w:pPr>
      <w:r>
        <w:rPr>
          <w:color w:val="auto"/>
        </w:rPr>
        <w:t>预留至少2个KF25法兰口，1法兰口轴线角度与沉积台成45度</w:t>
      </w:r>
      <w:r>
        <w:rPr>
          <w:rFonts w:hint="eastAsia"/>
          <w:color w:val="auto"/>
        </w:rPr>
        <w:t>，</w:t>
      </w:r>
      <w:r>
        <w:rPr>
          <w:color w:val="auto"/>
        </w:rPr>
        <w:t>1法兰口轴线与沉积台平行，以上法兰口用于观测等离子体状态/晶体状态、光谱诊断所需光纤接口安装、其他等离子体诊断设备安装；</w:t>
      </w:r>
    </w:p>
    <w:p>
      <w:pPr>
        <w:pStyle w:val="2"/>
        <w:numPr>
          <w:ilvl w:val="0"/>
          <w:numId w:val="3"/>
        </w:numPr>
        <w:tabs>
          <w:tab w:val="clear" w:pos="840"/>
        </w:tabs>
        <w:spacing w:line="360" w:lineRule="auto"/>
        <w:rPr>
          <w:color w:val="auto"/>
        </w:rPr>
      </w:pPr>
      <w:r>
        <w:rPr>
          <w:color w:val="auto"/>
        </w:rPr>
        <w:t>沉积台与腔体需做绝缘处理，并预留偏压电路接口（无需包含偏压系统）；</w:t>
      </w:r>
    </w:p>
    <w:p>
      <w:pPr>
        <w:pStyle w:val="2"/>
        <w:numPr>
          <w:ilvl w:val="0"/>
          <w:numId w:val="3"/>
        </w:numPr>
        <w:tabs>
          <w:tab w:val="clear" w:pos="840"/>
        </w:tabs>
        <w:spacing w:line="360" w:lineRule="auto"/>
        <w:rPr>
          <w:color w:val="auto"/>
        </w:rPr>
      </w:pPr>
      <w:r>
        <w:rPr>
          <w:color w:val="auto"/>
        </w:rPr>
        <w:t>沉积台需具备升降功能（手动或马达驱动），升降精度0.2mm</w:t>
      </w:r>
      <w:r>
        <w:rPr>
          <w:rFonts w:hint="eastAsia"/>
          <w:color w:val="auto"/>
        </w:rPr>
        <w:t>；</w:t>
      </w:r>
    </w:p>
    <w:p>
      <w:pPr>
        <w:pStyle w:val="2"/>
        <w:numPr>
          <w:ilvl w:val="0"/>
          <w:numId w:val="3"/>
        </w:numPr>
        <w:tabs>
          <w:tab w:val="clear" w:pos="840"/>
        </w:tabs>
        <w:spacing w:line="360" w:lineRule="auto"/>
        <w:rPr>
          <w:color w:val="auto"/>
        </w:rPr>
      </w:pPr>
      <w:r>
        <w:rPr>
          <w:color w:val="auto"/>
        </w:rPr>
        <w:t>沉积台上的金刚石籽晶可通过冷却水维持800-1000</w:t>
      </w:r>
      <w:r>
        <w:rPr>
          <w:rFonts w:hint="eastAsia"/>
          <w:color w:val="auto"/>
        </w:rPr>
        <w:t>℃</w:t>
      </w:r>
      <w:r>
        <w:rPr>
          <w:color w:val="auto"/>
        </w:rPr>
        <w:t>；</w:t>
      </w:r>
    </w:p>
    <w:p>
      <w:pPr>
        <w:pStyle w:val="2"/>
        <w:numPr>
          <w:ilvl w:val="0"/>
          <w:numId w:val="3"/>
        </w:numPr>
        <w:tabs>
          <w:tab w:val="clear" w:pos="840"/>
        </w:tabs>
        <w:spacing w:line="360" w:lineRule="auto"/>
        <w:rPr>
          <w:color w:val="auto"/>
        </w:rPr>
      </w:pPr>
      <w:r>
        <w:rPr>
          <w:color w:val="auto"/>
        </w:rPr>
        <w:t>沉积台和升降机构需为组装式，方便对沉积台进行更换、清理等操作，不得一体化；</w:t>
      </w:r>
    </w:p>
    <w:p>
      <w:pPr>
        <w:pStyle w:val="2"/>
        <w:numPr>
          <w:ilvl w:val="0"/>
          <w:numId w:val="2"/>
        </w:numPr>
        <w:spacing w:line="360" w:lineRule="auto"/>
        <w:rPr>
          <w:color w:val="auto"/>
        </w:rPr>
      </w:pPr>
      <w:r>
        <w:rPr>
          <w:rFonts w:hint="eastAsia"/>
          <w:color w:val="auto"/>
        </w:rPr>
        <w:t>配套设施部分</w:t>
      </w:r>
    </w:p>
    <w:p>
      <w:pPr>
        <w:pStyle w:val="2"/>
        <w:numPr>
          <w:ilvl w:val="0"/>
          <w:numId w:val="3"/>
        </w:numPr>
        <w:tabs>
          <w:tab w:val="clear" w:pos="840"/>
        </w:tabs>
        <w:spacing w:line="360" w:lineRule="auto"/>
        <w:rPr>
          <w:color w:val="auto"/>
        </w:rPr>
      </w:pPr>
      <w:r>
        <w:rPr>
          <w:rFonts w:hint="eastAsia"/>
          <w:color w:val="auto"/>
        </w:rPr>
        <w:t>激光传输进腔体前在固定遮光护板内传播，避免操作人员直视，并配备护目镜以保护激光操作人员安全；</w:t>
      </w:r>
    </w:p>
    <w:p>
      <w:pPr>
        <w:pStyle w:val="2"/>
        <w:numPr>
          <w:ilvl w:val="0"/>
          <w:numId w:val="3"/>
        </w:numPr>
        <w:tabs>
          <w:tab w:val="clear" w:pos="840"/>
        </w:tabs>
        <w:spacing w:line="360" w:lineRule="auto"/>
        <w:rPr>
          <w:color w:val="auto"/>
        </w:rPr>
      </w:pPr>
      <w:r>
        <w:rPr>
          <w:rFonts w:hint="eastAsia"/>
          <w:color w:val="auto"/>
        </w:rPr>
        <w:t>水冷外机独立，为设备提供总流量不低于120L/min的16℃冷却水，最大运行功率在18kW；</w:t>
      </w:r>
    </w:p>
    <w:p>
      <w:pPr>
        <w:pStyle w:val="2"/>
        <w:numPr>
          <w:ilvl w:val="0"/>
          <w:numId w:val="3"/>
        </w:numPr>
        <w:tabs>
          <w:tab w:val="clear" w:pos="840"/>
        </w:tabs>
        <w:spacing w:line="360" w:lineRule="auto"/>
        <w:rPr>
          <w:color w:val="auto"/>
        </w:rPr>
      </w:pPr>
      <w:r>
        <w:rPr>
          <w:rFonts w:hint="eastAsia"/>
          <w:color w:val="auto"/>
        </w:rPr>
        <w:t>需配备100cm×60cm、高70cm操作台，配套实验椅；</w:t>
      </w:r>
    </w:p>
    <w:p>
      <w:pPr>
        <w:pStyle w:val="2"/>
        <w:numPr>
          <w:ilvl w:val="0"/>
          <w:numId w:val="3"/>
        </w:numPr>
        <w:tabs>
          <w:tab w:val="clear" w:pos="840"/>
        </w:tabs>
        <w:spacing w:line="360" w:lineRule="auto"/>
        <w:rPr>
          <w:color w:val="auto"/>
        </w:rPr>
      </w:pPr>
      <w:r>
        <w:rPr>
          <w:rFonts w:hint="eastAsia"/>
          <w:color w:val="auto"/>
        </w:rPr>
        <w:t>需包含对籽晶及生长样品进行贮藏保管的带锁金属实验柜和对应从5mm*5mm到10cm*10cm等不同尺寸样品的软质内衬填充透明硬化塑料样品盒，并附带镊子无菌手套无菌布等耗材；</w:t>
      </w:r>
    </w:p>
    <w:p>
      <w:pPr>
        <w:pStyle w:val="2"/>
        <w:numPr>
          <w:ilvl w:val="0"/>
          <w:numId w:val="3"/>
        </w:numPr>
        <w:tabs>
          <w:tab w:val="clear" w:pos="840"/>
        </w:tabs>
        <w:spacing w:line="360" w:lineRule="auto"/>
        <w:rPr>
          <w:color w:val="auto"/>
        </w:rPr>
      </w:pPr>
      <w:r>
        <w:rPr>
          <w:rFonts w:hint="eastAsia"/>
          <w:color w:val="auto"/>
        </w:rPr>
        <w:t>尾气处理设施需采用燃烧手段对尾气进行充分燃烧，燃烧塔内部保持负压（大气压-100Pa），高1</w:t>
      </w:r>
      <w:r>
        <w:rPr>
          <w:color w:val="auto"/>
        </w:rPr>
        <w:t xml:space="preserve"> </w:t>
      </w:r>
      <w:r>
        <w:rPr>
          <w:rFonts w:hint="eastAsia"/>
          <w:color w:val="auto"/>
        </w:rPr>
        <w:t>m，占地面积0.5m*0.5m，排出气体需以CO</w:t>
      </w:r>
      <w:r>
        <w:rPr>
          <w:rFonts w:hint="eastAsia"/>
          <w:color w:val="auto"/>
          <w:vertAlign w:val="subscript"/>
        </w:rPr>
        <w:t>2</w:t>
      </w:r>
      <w:r>
        <w:rPr>
          <w:rFonts w:hint="eastAsia"/>
          <w:color w:val="auto"/>
        </w:rPr>
        <w:t>和H</w:t>
      </w:r>
      <w:r>
        <w:rPr>
          <w:rFonts w:hint="eastAsia"/>
          <w:color w:val="auto"/>
          <w:vertAlign w:val="subscript"/>
        </w:rPr>
        <w:t>2</w:t>
      </w:r>
      <w:r>
        <w:rPr>
          <w:rFonts w:hint="eastAsia"/>
          <w:color w:val="auto"/>
        </w:rPr>
        <w:t>O为主要成分。</w:t>
      </w:r>
    </w:p>
    <w:p>
      <w:pPr>
        <w:pStyle w:val="2"/>
        <w:numPr>
          <w:ilvl w:val="0"/>
          <w:numId w:val="4"/>
        </w:numPr>
        <w:spacing w:line="360" w:lineRule="auto"/>
        <w:rPr>
          <w:color w:val="auto"/>
        </w:rPr>
      </w:pPr>
      <w:r>
        <w:rPr>
          <w:rFonts w:hint="eastAsia"/>
          <w:color w:val="auto"/>
        </w:rPr>
        <w:t xml:space="preserve">  </w:t>
      </w:r>
      <w:r>
        <w:rPr>
          <w:color w:val="auto"/>
        </w:rPr>
        <w:t>货架设备出厂书面文件等要求</w:t>
      </w:r>
    </w:p>
    <w:p>
      <w:pPr>
        <w:pStyle w:val="2"/>
        <w:spacing w:line="360" w:lineRule="auto"/>
        <w:rPr>
          <w:color w:val="auto"/>
        </w:rPr>
      </w:pPr>
      <w:r>
        <w:rPr>
          <w:color w:val="auto"/>
        </w:rPr>
        <w:t>供应商需提供以下文件资料，</w:t>
      </w:r>
      <w:r>
        <w:rPr>
          <w:rFonts w:hint="eastAsia"/>
          <w:color w:val="auto"/>
        </w:rPr>
        <w:t>全</w:t>
      </w:r>
      <w:r>
        <w:rPr>
          <w:color w:val="auto"/>
        </w:rPr>
        <w:t>部资料必须以中文或英文表述：</w:t>
      </w:r>
    </w:p>
    <w:p>
      <w:pPr>
        <w:pStyle w:val="2"/>
        <w:spacing w:line="360" w:lineRule="auto"/>
        <w:rPr>
          <w:color w:val="auto"/>
        </w:rPr>
      </w:pPr>
      <w:r>
        <w:rPr>
          <w:color w:val="auto"/>
        </w:rPr>
        <w:t>表 2 供应商需提供的文件资料</w:t>
      </w:r>
    </w:p>
    <w:tbl>
      <w:tblPr>
        <w:tblStyle w:val="4"/>
        <w:tblW w:w="6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5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0" w:type="dxa"/>
            <w:noWrap w:val="0"/>
            <w:vAlign w:val="center"/>
          </w:tcPr>
          <w:p>
            <w:pPr>
              <w:pStyle w:val="2"/>
              <w:spacing w:line="360" w:lineRule="exact"/>
              <w:jc w:val="center"/>
              <w:rPr>
                <w:b/>
                <w:color w:val="auto"/>
              </w:rPr>
            </w:pPr>
            <w:r>
              <w:rPr>
                <w:b/>
                <w:color w:val="auto"/>
              </w:rPr>
              <w:t>序号</w:t>
            </w:r>
          </w:p>
        </w:tc>
        <w:tc>
          <w:tcPr>
            <w:tcW w:w="5461" w:type="dxa"/>
            <w:noWrap w:val="0"/>
            <w:vAlign w:val="center"/>
          </w:tcPr>
          <w:p>
            <w:pPr>
              <w:pStyle w:val="2"/>
              <w:spacing w:line="360" w:lineRule="exact"/>
              <w:jc w:val="center"/>
              <w:rPr>
                <w:b/>
                <w:color w:val="auto"/>
              </w:rPr>
            </w:pPr>
            <w:r>
              <w:rPr>
                <w:b/>
                <w:color w:val="auto"/>
              </w:rPr>
              <w:t>文件资料名称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70" w:type="dxa"/>
            <w:noWrap w:val="0"/>
            <w:vAlign w:val="center"/>
          </w:tcPr>
          <w:p>
            <w:pPr>
              <w:pStyle w:val="2"/>
              <w:spacing w:line="360" w:lineRule="exact"/>
              <w:jc w:val="center"/>
              <w:rPr>
                <w:color w:val="auto"/>
              </w:rPr>
            </w:pPr>
            <w:r>
              <w:rPr>
                <w:rFonts w:hint="eastAsia"/>
                <w:color w:val="auto"/>
              </w:rPr>
              <w:t>1</w:t>
            </w:r>
          </w:p>
        </w:tc>
        <w:tc>
          <w:tcPr>
            <w:tcW w:w="5461" w:type="dxa"/>
            <w:noWrap w:val="0"/>
            <w:vAlign w:val="center"/>
          </w:tcPr>
          <w:p>
            <w:pPr>
              <w:pStyle w:val="2"/>
              <w:spacing w:line="360" w:lineRule="exact"/>
              <w:jc w:val="center"/>
              <w:rPr>
                <w:color w:val="auto"/>
              </w:rPr>
            </w:pPr>
            <w:r>
              <w:rPr>
                <w:color w:val="auto"/>
              </w:rPr>
              <w:t>零部件明细表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0" w:type="dxa"/>
            <w:noWrap w:val="0"/>
            <w:vAlign w:val="center"/>
          </w:tcPr>
          <w:p>
            <w:pPr>
              <w:pStyle w:val="2"/>
              <w:spacing w:line="360" w:lineRule="exact"/>
              <w:jc w:val="center"/>
              <w:rPr>
                <w:color w:val="auto"/>
              </w:rPr>
            </w:pPr>
            <w:r>
              <w:rPr>
                <w:rFonts w:hint="eastAsia"/>
                <w:color w:val="auto"/>
              </w:rPr>
              <w:t>2</w:t>
            </w:r>
          </w:p>
        </w:tc>
        <w:tc>
          <w:tcPr>
            <w:tcW w:w="5461" w:type="dxa"/>
            <w:noWrap w:val="0"/>
            <w:vAlign w:val="center"/>
          </w:tcPr>
          <w:p>
            <w:pPr>
              <w:pStyle w:val="2"/>
              <w:spacing w:line="360" w:lineRule="exact"/>
              <w:jc w:val="center"/>
              <w:rPr>
                <w:color w:val="auto"/>
              </w:rPr>
            </w:pPr>
            <w:r>
              <w:rPr>
                <w:color w:val="auto"/>
              </w:rPr>
              <w:t>产品出厂检测报告、合格证明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0" w:type="dxa"/>
            <w:noWrap w:val="0"/>
            <w:vAlign w:val="center"/>
          </w:tcPr>
          <w:p>
            <w:pPr>
              <w:pStyle w:val="2"/>
              <w:spacing w:line="360" w:lineRule="exact"/>
              <w:jc w:val="center"/>
              <w:rPr>
                <w:color w:val="auto"/>
              </w:rPr>
            </w:pPr>
            <w:r>
              <w:rPr>
                <w:rFonts w:hint="eastAsia"/>
                <w:color w:val="auto"/>
              </w:rPr>
              <w:t>3</w:t>
            </w:r>
          </w:p>
        </w:tc>
        <w:tc>
          <w:tcPr>
            <w:tcW w:w="5461" w:type="dxa"/>
            <w:noWrap w:val="0"/>
            <w:vAlign w:val="center"/>
          </w:tcPr>
          <w:p>
            <w:pPr>
              <w:pStyle w:val="2"/>
              <w:spacing w:line="360" w:lineRule="exact"/>
              <w:jc w:val="center"/>
              <w:rPr>
                <w:color w:val="auto"/>
              </w:rPr>
            </w:pPr>
            <w:r>
              <w:rPr>
                <w:color w:val="auto"/>
              </w:rPr>
              <w:t>设备使用说明书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0" w:type="dxa"/>
            <w:noWrap w:val="0"/>
            <w:vAlign w:val="center"/>
          </w:tcPr>
          <w:p>
            <w:pPr>
              <w:pStyle w:val="2"/>
              <w:spacing w:line="360" w:lineRule="exact"/>
              <w:jc w:val="center"/>
              <w:rPr>
                <w:color w:val="auto"/>
              </w:rPr>
            </w:pPr>
            <w:r>
              <w:rPr>
                <w:rFonts w:hint="eastAsia"/>
                <w:color w:val="auto"/>
              </w:rPr>
              <w:t>4</w:t>
            </w:r>
          </w:p>
        </w:tc>
        <w:tc>
          <w:tcPr>
            <w:tcW w:w="5461" w:type="dxa"/>
            <w:noWrap w:val="0"/>
            <w:vAlign w:val="center"/>
          </w:tcPr>
          <w:p>
            <w:pPr>
              <w:pStyle w:val="2"/>
              <w:spacing w:line="360" w:lineRule="exact"/>
              <w:jc w:val="center"/>
              <w:rPr>
                <w:color w:val="auto"/>
              </w:rPr>
            </w:pPr>
            <w:r>
              <w:rPr>
                <w:color w:val="auto"/>
              </w:rPr>
              <w:t>设备维护手册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0" w:type="dxa"/>
            <w:noWrap w:val="0"/>
            <w:vAlign w:val="center"/>
          </w:tcPr>
          <w:p>
            <w:pPr>
              <w:pStyle w:val="2"/>
              <w:spacing w:line="360" w:lineRule="exact"/>
              <w:jc w:val="center"/>
              <w:rPr>
                <w:color w:val="auto"/>
              </w:rPr>
            </w:pPr>
            <w:r>
              <w:rPr>
                <w:rFonts w:hint="eastAsia"/>
                <w:color w:val="auto"/>
              </w:rPr>
              <w:t>5</w:t>
            </w:r>
          </w:p>
        </w:tc>
        <w:tc>
          <w:tcPr>
            <w:tcW w:w="5461" w:type="dxa"/>
            <w:noWrap w:val="0"/>
            <w:vAlign w:val="center"/>
          </w:tcPr>
          <w:p>
            <w:pPr>
              <w:pStyle w:val="2"/>
              <w:spacing w:line="360" w:lineRule="exact"/>
              <w:jc w:val="center"/>
              <w:rPr>
                <w:color w:val="auto"/>
              </w:rPr>
            </w:pPr>
            <w:r>
              <w:rPr>
                <w:color w:val="auto"/>
              </w:rPr>
              <w:t>软件用户手册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0" w:type="dxa"/>
            <w:noWrap w:val="0"/>
            <w:vAlign w:val="center"/>
          </w:tcPr>
          <w:p>
            <w:pPr>
              <w:pStyle w:val="2"/>
              <w:spacing w:line="360" w:lineRule="exact"/>
              <w:jc w:val="center"/>
              <w:rPr>
                <w:color w:val="auto"/>
              </w:rPr>
            </w:pPr>
            <w:r>
              <w:rPr>
                <w:rFonts w:hint="eastAsia"/>
                <w:color w:val="auto"/>
              </w:rPr>
              <w:t>6</w:t>
            </w:r>
          </w:p>
        </w:tc>
        <w:tc>
          <w:tcPr>
            <w:tcW w:w="5461" w:type="dxa"/>
            <w:noWrap w:val="0"/>
            <w:vAlign w:val="center"/>
          </w:tcPr>
          <w:p>
            <w:pPr>
              <w:pStyle w:val="2"/>
              <w:spacing w:line="360" w:lineRule="exact"/>
              <w:jc w:val="center"/>
              <w:rPr>
                <w:color w:val="auto"/>
              </w:rPr>
            </w:pPr>
            <w:r>
              <w:rPr>
                <w:color w:val="auto"/>
              </w:rPr>
              <w:t>现场安装、调试实施方案</w:t>
            </w:r>
          </w:p>
        </w:tc>
      </w:tr>
    </w:tbl>
    <w:p>
      <w:pPr>
        <w:pStyle w:val="2"/>
        <w:numPr>
          <w:ilvl w:val="0"/>
          <w:numId w:val="4"/>
        </w:numPr>
        <w:spacing w:line="360" w:lineRule="auto"/>
        <w:rPr>
          <w:color w:val="auto"/>
        </w:rPr>
      </w:pPr>
      <w:r>
        <w:rPr>
          <w:rFonts w:hint="eastAsia"/>
          <w:color w:val="auto"/>
        </w:rPr>
        <w:t xml:space="preserve">  </w:t>
      </w:r>
      <w:r>
        <w:rPr>
          <w:color w:val="auto"/>
        </w:rPr>
        <w:t>货架设备的运输、现场安装调试、验收要求</w:t>
      </w:r>
    </w:p>
    <w:p>
      <w:pPr>
        <w:pStyle w:val="2"/>
        <w:numPr>
          <w:ilvl w:val="1"/>
          <w:numId w:val="4"/>
        </w:numPr>
        <w:spacing w:line="360" w:lineRule="auto"/>
        <w:rPr>
          <w:color w:val="auto"/>
        </w:rPr>
      </w:pPr>
      <w:r>
        <w:rPr>
          <w:color w:val="auto"/>
        </w:rPr>
        <w:t>包装运输：</w:t>
      </w:r>
    </w:p>
    <w:p>
      <w:pPr>
        <w:pStyle w:val="2"/>
        <w:numPr>
          <w:ilvl w:val="0"/>
          <w:numId w:val="5"/>
        </w:numPr>
        <w:spacing w:line="360" w:lineRule="auto"/>
        <w:rPr>
          <w:color w:val="auto"/>
        </w:rPr>
      </w:pPr>
      <w:r>
        <w:rPr>
          <w:color w:val="auto"/>
        </w:rPr>
        <w:t>空运或汽运，并负责运到采购人指定场地，所有运输过程中发生的一切费用由供应商承担；</w:t>
      </w:r>
    </w:p>
    <w:p>
      <w:pPr>
        <w:pStyle w:val="2"/>
        <w:numPr>
          <w:ilvl w:val="0"/>
          <w:numId w:val="5"/>
        </w:numPr>
        <w:spacing w:line="360" w:lineRule="auto"/>
        <w:rPr>
          <w:color w:val="auto"/>
        </w:rPr>
      </w:pPr>
      <w:r>
        <w:rPr>
          <w:color w:val="auto"/>
        </w:rPr>
        <w:t>包装要求：包装应牢固、可靠、经济美观。外形尺寸应尽量小，以方便运输；</w:t>
      </w:r>
    </w:p>
    <w:p>
      <w:pPr>
        <w:pStyle w:val="2"/>
        <w:numPr>
          <w:ilvl w:val="0"/>
          <w:numId w:val="5"/>
        </w:numPr>
        <w:spacing w:line="360" w:lineRule="auto"/>
        <w:rPr>
          <w:color w:val="auto"/>
        </w:rPr>
      </w:pPr>
      <w:r>
        <w:rPr>
          <w:color w:val="auto"/>
        </w:rPr>
        <w:t>包装必须适应所采用的运输方式的要求；</w:t>
      </w:r>
    </w:p>
    <w:p>
      <w:pPr>
        <w:pStyle w:val="2"/>
        <w:numPr>
          <w:ilvl w:val="0"/>
          <w:numId w:val="5"/>
        </w:numPr>
        <w:spacing w:line="360" w:lineRule="auto"/>
        <w:rPr>
          <w:color w:val="auto"/>
        </w:rPr>
      </w:pPr>
      <w:r>
        <w:rPr>
          <w:color w:val="auto"/>
        </w:rPr>
        <w:t>包装必须要便于各环节有关人员进行操作；</w:t>
      </w:r>
    </w:p>
    <w:p>
      <w:pPr>
        <w:pStyle w:val="2"/>
        <w:numPr>
          <w:ilvl w:val="0"/>
          <w:numId w:val="5"/>
        </w:numPr>
        <w:spacing w:line="360" w:lineRule="auto"/>
        <w:rPr>
          <w:color w:val="auto"/>
        </w:rPr>
      </w:pPr>
      <w:r>
        <w:rPr>
          <w:color w:val="auto"/>
        </w:rPr>
        <w:t>在保证包装牢固的前提下节省费用；</w:t>
      </w:r>
    </w:p>
    <w:p>
      <w:pPr>
        <w:pStyle w:val="2"/>
        <w:numPr>
          <w:ilvl w:val="0"/>
          <w:numId w:val="5"/>
        </w:numPr>
        <w:spacing w:line="360" w:lineRule="auto"/>
        <w:rPr>
          <w:color w:val="auto"/>
        </w:rPr>
      </w:pPr>
      <w:r>
        <w:rPr>
          <w:color w:val="auto"/>
        </w:rPr>
        <w:t>零件要固定在箱体内，避免内部晃动；可适当的放干燥剂；</w:t>
      </w:r>
    </w:p>
    <w:p>
      <w:pPr>
        <w:pStyle w:val="2"/>
        <w:numPr>
          <w:ilvl w:val="0"/>
          <w:numId w:val="5"/>
        </w:numPr>
        <w:spacing w:line="360" w:lineRule="auto"/>
        <w:rPr>
          <w:color w:val="auto"/>
        </w:rPr>
      </w:pPr>
      <w:r>
        <w:rPr>
          <w:color w:val="auto"/>
        </w:rPr>
        <w:t>包装箱的四个侧面应标记向上、怕湿、禁止翻转和吊装位置等符号，应清晰、可长期保持；</w:t>
      </w:r>
    </w:p>
    <w:p>
      <w:pPr>
        <w:pStyle w:val="2"/>
        <w:numPr>
          <w:ilvl w:val="0"/>
          <w:numId w:val="5"/>
        </w:numPr>
        <w:spacing w:line="360" w:lineRule="auto"/>
        <w:rPr>
          <w:color w:val="auto"/>
        </w:rPr>
      </w:pPr>
      <w:r>
        <w:rPr>
          <w:color w:val="auto"/>
        </w:rPr>
        <w:t>并清晰注明收货地址、收货人和发货地址，合同号、重量、包装箱的承重点等。</w:t>
      </w:r>
    </w:p>
    <w:p>
      <w:pPr>
        <w:pStyle w:val="2"/>
        <w:numPr>
          <w:ilvl w:val="1"/>
          <w:numId w:val="4"/>
        </w:numPr>
        <w:spacing w:line="360" w:lineRule="auto"/>
        <w:rPr>
          <w:color w:val="auto"/>
        </w:rPr>
      </w:pPr>
      <w:r>
        <w:rPr>
          <w:color w:val="auto"/>
        </w:rPr>
        <w:t>现场安装调试：</w:t>
      </w:r>
    </w:p>
    <w:p>
      <w:pPr>
        <w:pStyle w:val="2"/>
        <w:spacing w:line="360" w:lineRule="auto"/>
        <w:rPr>
          <w:color w:val="auto"/>
        </w:rPr>
      </w:pPr>
      <w:r>
        <w:rPr>
          <w:color w:val="auto"/>
        </w:rPr>
        <w:t>产品到货后必须及时进行产品验证检验，检查是否含有出厂检测报告、使用说明书、产品交付清单（含文件清单）等文件，验证过程需留存开箱照片，并留存检验验证记录。由供应商工程师到用户现场进行仪器的安装,确认仪器达到或超过合同规定的技术指标。安装过程中发生的所有费用由供应商提供。安装过程中,将进行下列工作:</w:t>
      </w:r>
    </w:p>
    <w:p>
      <w:pPr>
        <w:pStyle w:val="2"/>
        <w:numPr>
          <w:ilvl w:val="0"/>
          <w:numId w:val="6"/>
        </w:numPr>
        <w:spacing w:line="360" w:lineRule="auto"/>
        <w:rPr>
          <w:color w:val="auto"/>
        </w:rPr>
      </w:pPr>
      <w:r>
        <w:rPr>
          <w:color w:val="auto"/>
        </w:rPr>
        <w:t>清点:按合同及发货清单清点设备及备件；</w:t>
      </w:r>
    </w:p>
    <w:p>
      <w:pPr>
        <w:pStyle w:val="2"/>
        <w:numPr>
          <w:ilvl w:val="0"/>
          <w:numId w:val="6"/>
        </w:numPr>
        <w:spacing w:line="360" w:lineRule="auto"/>
        <w:rPr>
          <w:color w:val="auto"/>
        </w:rPr>
      </w:pPr>
      <w:r>
        <w:rPr>
          <w:color w:val="auto"/>
        </w:rPr>
        <w:t>安装及调试:将仪器通电，检查整机及所有的备件都运转正常,并对仪器进行调试，按照厂家提供的安装报告逐项检查仪器指标；</w:t>
      </w:r>
    </w:p>
    <w:p>
      <w:pPr>
        <w:pStyle w:val="2"/>
        <w:numPr>
          <w:ilvl w:val="0"/>
          <w:numId w:val="6"/>
        </w:numPr>
        <w:spacing w:line="360" w:lineRule="auto"/>
        <w:rPr>
          <w:color w:val="auto"/>
        </w:rPr>
      </w:pPr>
      <w:r>
        <w:rPr>
          <w:color w:val="auto"/>
        </w:rPr>
        <w:t>现场调试发生的所有费用由供应商承担，包括工程师的工时费及差旅费用。</w:t>
      </w:r>
    </w:p>
    <w:p>
      <w:pPr>
        <w:pStyle w:val="2"/>
        <w:numPr>
          <w:ilvl w:val="1"/>
          <w:numId w:val="4"/>
        </w:numPr>
        <w:spacing w:line="360" w:lineRule="auto"/>
        <w:rPr>
          <w:color w:val="auto"/>
        </w:rPr>
      </w:pPr>
      <w:r>
        <w:rPr>
          <w:color w:val="auto"/>
        </w:rPr>
        <w:t>设备功能验收：</w:t>
      </w:r>
    </w:p>
    <w:p>
      <w:pPr>
        <w:pStyle w:val="2"/>
        <w:spacing w:line="360" w:lineRule="auto"/>
        <w:rPr>
          <w:color w:val="auto"/>
        </w:rPr>
      </w:pPr>
      <w:r>
        <w:rPr>
          <w:color w:val="auto"/>
        </w:rPr>
        <w:t>针对各项技术指标，对</w:t>
      </w:r>
      <w:r>
        <w:rPr>
          <w:rFonts w:hint="eastAsia"/>
          <w:color w:val="auto"/>
        </w:rPr>
        <w:t>激光增强C</w:t>
      </w:r>
      <w:r>
        <w:rPr>
          <w:color w:val="auto"/>
        </w:rPr>
        <w:t>VD</w:t>
      </w:r>
      <w:r>
        <w:rPr>
          <w:rFonts w:hint="eastAsia"/>
          <w:color w:val="auto"/>
        </w:rPr>
        <w:t>晶体生长系统</w:t>
      </w:r>
      <w:r>
        <w:rPr>
          <w:color w:val="auto"/>
        </w:rPr>
        <w:t>进行验收。</w:t>
      </w:r>
    </w:p>
    <w:p>
      <w:pPr>
        <w:pStyle w:val="2"/>
        <w:numPr>
          <w:ilvl w:val="0"/>
          <w:numId w:val="7"/>
        </w:numPr>
        <w:spacing w:line="360" w:lineRule="auto"/>
        <w:rPr>
          <w:color w:val="auto"/>
        </w:rPr>
      </w:pPr>
      <w:r>
        <w:rPr>
          <w:color w:val="auto"/>
        </w:rPr>
        <w:t>需要满足约定的所有技术指标；</w:t>
      </w:r>
    </w:p>
    <w:p>
      <w:pPr>
        <w:pStyle w:val="2"/>
        <w:numPr>
          <w:ilvl w:val="0"/>
          <w:numId w:val="7"/>
        </w:numPr>
        <w:spacing w:line="360" w:lineRule="auto"/>
        <w:rPr>
          <w:color w:val="auto"/>
        </w:rPr>
      </w:pPr>
      <w:r>
        <w:rPr>
          <w:color w:val="auto"/>
        </w:rPr>
        <w:t>验收前提供表2中所列的全部文件资料；</w:t>
      </w:r>
    </w:p>
    <w:p>
      <w:pPr>
        <w:pStyle w:val="2"/>
        <w:numPr>
          <w:ilvl w:val="0"/>
          <w:numId w:val="4"/>
        </w:numPr>
        <w:spacing w:line="360" w:lineRule="auto"/>
        <w:rPr>
          <w:color w:val="auto"/>
        </w:rPr>
      </w:pPr>
      <w:r>
        <w:rPr>
          <w:rFonts w:hint="eastAsia"/>
          <w:color w:val="auto"/>
        </w:rPr>
        <w:t xml:space="preserve">  </w:t>
      </w:r>
      <w:r>
        <w:rPr>
          <w:color w:val="auto"/>
        </w:rPr>
        <w:t>货架设备的售后服务</w:t>
      </w:r>
    </w:p>
    <w:p>
      <w:pPr>
        <w:pStyle w:val="2"/>
        <w:spacing w:line="360" w:lineRule="auto"/>
        <w:rPr>
          <w:color w:val="auto"/>
        </w:rPr>
      </w:pPr>
      <w:r>
        <w:rPr>
          <w:color w:val="auto"/>
        </w:rPr>
        <w:t>供应商全面负责设备的安装调试。安装由</w:t>
      </w:r>
      <w:r>
        <w:rPr>
          <w:rFonts w:hint="eastAsia"/>
          <w:color w:val="auto"/>
        </w:rPr>
        <w:t>供应商</w:t>
      </w:r>
      <w:r>
        <w:rPr>
          <w:color w:val="auto"/>
        </w:rPr>
        <w:t>派技术人员到采购人现场进行设备安装调试，并对设备开箱、吊装、管线接口匹配的正确性负全部责任。供应商应自备安装调试所需的检测及其它专用工具。采购人应提供安装所需的其它辅助设备和功能，如安装调试现场及所需的电、气及辅料等；</w:t>
      </w:r>
    </w:p>
    <w:p>
      <w:pPr>
        <w:pStyle w:val="2"/>
        <w:numPr>
          <w:ilvl w:val="0"/>
          <w:numId w:val="8"/>
        </w:numPr>
        <w:spacing w:line="360" w:lineRule="auto"/>
        <w:rPr>
          <w:color w:val="auto"/>
        </w:rPr>
      </w:pPr>
      <w:r>
        <w:rPr>
          <w:color w:val="auto"/>
        </w:rPr>
        <w:t>供应商应提供到用户现场的培训，培训内容包括设备原理、设备电路线路原理、机械结构及各功能模块介绍、以及设备基本故障诊断排查、易损部件更换、程序设置、工艺操作等内容；</w:t>
      </w:r>
    </w:p>
    <w:p>
      <w:pPr>
        <w:pStyle w:val="2"/>
        <w:numPr>
          <w:ilvl w:val="0"/>
          <w:numId w:val="8"/>
        </w:numPr>
        <w:spacing w:line="360" w:lineRule="auto"/>
        <w:rPr>
          <w:color w:val="auto"/>
        </w:rPr>
      </w:pPr>
      <w:r>
        <w:rPr>
          <w:color w:val="auto"/>
        </w:rPr>
        <w:t>培训时间不少于1周，确保采购人的有关操作人员能独立、熟练、正确操作使用、维护设备，保证采购人有关的维修人员能独立排除设备的常见故障；</w:t>
      </w:r>
    </w:p>
    <w:p>
      <w:pPr>
        <w:pStyle w:val="2"/>
        <w:numPr>
          <w:ilvl w:val="0"/>
          <w:numId w:val="8"/>
        </w:numPr>
        <w:spacing w:line="360" w:lineRule="auto"/>
        <w:rPr>
          <w:color w:val="auto"/>
        </w:rPr>
      </w:pPr>
      <w:r>
        <w:rPr>
          <w:color w:val="auto"/>
        </w:rPr>
        <w:t>自哈尔滨工业大学验收签字之日起，供应商提供一年质保服务；8小时内提供技术响应（通过邮件、电话、视频），24小时内能够提供解决方案</w:t>
      </w:r>
      <w:r>
        <w:rPr>
          <w:rFonts w:hint="eastAsia"/>
          <w:color w:val="auto"/>
        </w:rPr>
        <w:t>，到场时间不超过4</w:t>
      </w:r>
      <w:r>
        <w:rPr>
          <w:color w:val="auto"/>
        </w:rPr>
        <w:t>8</w:t>
      </w:r>
      <w:r>
        <w:rPr>
          <w:rFonts w:hint="eastAsia"/>
          <w:color w:val="auto"/>
        </w:rPr>
        <w:t>小时</w:t>
      </w:r>
      <w:r>
        <w:rPr>
          <w:color w:val="auto"/>
        </w:rPr>
        <w:t>；</w:t>
      </w:r>
    </w:p>
    <w:p>
      <w:pPr>
        <w:pStyle w:val="2"/>
        <w:numPr>
          <w:ilvl w:val="0"/>
          <w:numId w:val="8"/>
        </w:numPr>
        <w:spacing w:line="360" w:lineRule="auto"/>
        <w:rPr>
          <w:color w:val="auto"/>
        </w:rPr>
      </w:pPr>
      <w:r>
        <w:rPr>
          <w:color w:val="auto"/>
        </w:rPr>
        <w:t>供应商在质保期内至少保证一次回访；</w:t>
      </w:r>
    </w:p>
    <w:p>
      <w:pPr>
        <w:pStyle w:val="2"/>
        <w:numPr>
          <w:ilvl w:val="0"/>
          <w:numId w:val="8"/>
        </w:numPr>
        <w:spacing w:line="360" w:lineRule="auto"/>
        <w:rPr>
          <w:color w:val="auto"/>
        </w:rPr>
      </w:pPr>
      <w:r>
        <w:rPr>
          <w:color w:val="auto"/>
        </w:rPr>
        <w:t>质保期间，因供应商原因，如果发生非消耗性部件失效，由供应商负责免费提供全新部件替换；</w:t>
      </w:r>
    </w:p>
    <w:p>
      <w:pPr>
        <w:pStyle w:val="2"/>
        <w:numPr>
          <w:ilvl w:val="0"/>
          <w:numId w:val="8"/>
        </w:numPr>
        <w:spacing w:line="360" w:lineRule="auto"/>
        <w:rPr>
          <w:color w:val="auto"/>
        </w:rPr>
      </w:pPr>
      <w:r>
        <w:rPr>
          <w:color w:val="auto"/>
        </w:rPr>
        <w:t>设备验收前发生的消耗性部件失效，由供应商免费提供全新替换；</w:t>
      </w:r>
    </w:p>
    <w:p>
      <w:pPr>
        <w:pStyle w:val="2"/>
        <w:numPr>
          <w:ilvl w:val="0"/>
          <w:numId w:val="8"/>
        </w:numPr>
        <w:spacing w:line="360" w:lineRule="auto"/>
        <w:rPr>
          <w:color w:val="auto"/>
        </w:rPr>
      </w:pPr>
      <w:r>
        <w:rPr>
          <w:color w:val="auto"/>
        </w:rPr>
        <w:t>供应商须保证其提供的设备（包括主机、配件、附属部件等）是全新的，符合其出厂标准；</w:t>
      </w:r>
    </w:p>
    <w:p>
      <w:pPr>
        <w:pStyle w:val="2"/>
        <w:numPr>
          <w:ilvl w:val="0"/>
          <w:numId w:val="8"/>
        </w:numPr>
        <w:spacing w:line="360" w:lineRule="auto"/>
        <w:rPr>
          <w:color w:val="auto"/>
        </w:rPr>
      </w:pPr>
      <w:r>
        <w:rPr>
          <w:color w:val="auto"/>
        </w:rPr>
        <w:t>在正确安装、合理操作和维护保养条件下，供应商应保证其设备在寿命期内运转良好；</w:t>
      </w:r>
    </w:p>
    <w:p>
      <w:pPr>
        <w:pStyle w:val="2"/>
        <w:numPr>
          <w:ilvl w:val="0"/>
          <w:numId w:val="8"/>
        </w:numPr>
        <w:spacing w:line="360" w:lineRule="auto"/>
        <w:rPr>
          <w:color w:val="auto"/>
        </w:rPr>
      </w:pPr>
      <w:r>
        <w:rPr>
          <w:color w:val="auto"/>
        </w:rPr>
        <w:t>在规定的质量保证期内，由于设备自身在设计、材料或制造加工方面造成的任何缺陷或故障，供应商须负责免费维修、调换；</w:t>
      </w:r>
    </w:p>
    <w:p>
      <w:pPr>
        <w:pStyle w:val="2"/>
        <w:numPr>
          <w:ilvl w:val="0"/>
          <w:numId w:val="8"/>
        </w:numPr>
        <w:spacing w:line="360" w:lineRule="auto"/>
        <w:rPr>
          <w:color w:val="auto"/>
        </w:rPr>
      </w:pPr>
      <w:r>
        <w:rPr>
          <w:color w:val="auto"/>
        </w:rPr>
        <w:t>供应商承担对软件进行免费升级和维护的义务。</w:t>
      </w:r>
    </w:p>
    <w:p>
      <w:pPr>
        <w:pStyle w:val="2"/>
        <w:numPr>
          <w:ilvl w:val="0"/>
          <w:numId w:val="4"/>
        </w:numPr>
        <w:spacing w:line="360" w:lineRule="auto"/>
        <w:rPr>
          <w:color w:val="auto"/>
        </w:rPr>
      </w:pPr>
      <w:r>
        <w:rPr>
          <w:rFonts w:hint="eastAsia"/>
          <w:color w:val="auto"/>
        </w:rPr>
        <w:t xml:space="preserve">  </w:t>
      </w:r>
      <w:r>
        <w:rPr>
          <w:color w:val="auto"/>
        </w:rPr>
        <w:t>采购人需提供的材料及支持（如作业环境、人员等方面）</w:t>
      </w:r>
    </w:p>
    <w:p>
      <w:pPr>
        <w:pStyle w:val="2"/>
        <w:numPr>
          <w:ilvl w:val="0"/>
          <w:numId w:val="9"/>
        </w:numPr>
        <w:spacing w:line="360" w:lineRule="auto"/>
        <w:rPr>
          <w:color w:val="auto"/>
        </w:rPr>
      </w:pPr>
      <w:r>
        <w:rPr>
          <w:color w:val="auto"/>
        </w:rPr>
        <w:t>常用备件、附属件清单及价格；</w:t>
      </w:r>
    </w:p>
    <w:p>
      <w:pPr>
        <w:pStyle w:val="2"/>
        <w:numPr>
          <w:ilvl w:val="0"/>
          <w:numId w:val="9"/>
        </w:numPr>
        <w:spacing w:line="360" w:lineRule="auto"/>
        <w:rPr>
          <w:color w:val="auto"/>
        </w:rPr>
      </w:pPr>
      <w:r>
        <w:rPr>
          <w:color w:val="auto"/>
        </w:rPr>
        <w:t>其它附件清单；</w:t>
      </w:r>
    </w:p>
    <w:p>
      <w:pPr>
        <w:pStyle w:val="2"/>
        <w:numPr>
          <w:ilvl w:val="0"/>
          <w:numId w:val="9"/>
        </w:numPr>
        <w:spacing w:line="360" w:lineRule="auto"/>
        <w:rPr>
          <w:color w:val="auto"/>
        </w:rPr>
      </w:pPr>
      <w:r>
        <w:rPr>
          <w:color w:val="auto"/>
        </w:rPr>
        <w:t>其它未列出的选项，投标厂家可列出优惠条款，待中标后视情况在技术协议中由双方共同商定。</w:t>
      </w:r>
    </w:p>
    <w:p>
      <w:pPr>
        <w:pStyle w:val="2"/>
        <w:numPr>
          <w:ilvl w:val="0"/>
          <w:numId w:val="4"/>
        </w:numPr>
        <w:spacing w:line="360" w:lineRule="auto"/>
        <w:rPr>
          <w:color w:val="auto"/>
        </w:rPr>
      </w:pPr>
      <w:r>
        <w:rPr>
          <w:rFonts w:hint="eastAsia"/>
          <w:color w:val="auto"/>
        </w:rPr>
        <w:t xml:space="preserve">  </w:t>
      </w:r>
      <w:r>
        <w:rPr>
          <w:color w:val="auto"/>
        </w:rPr>
        <w:t>相关附加其他技术、服务要求</w:t>
      </w:r>
    </w:p>
    <w:p>
      <w:pPr>
        <w:pStyle w:val="2"/>
        <w:numPr>
          <w:ilvl w:val="0"/>
          <w:numId w:val="10"/>
        </w:numPr>
        <w:spacing w:line="360" w:lineRule="auto"/>
        <w:rPr>
          <w:color w:val="auto"/>
          <w:highlight w:val="none"/>
        </w:rPr>
      </w:pPr>
      <w:r>
        <w:rPr>
          <w:color w:val="auto"/>
        </w:rPr>
        <w:t>应符合《中华人民共和</w:t>
      </w:r>
      <w:r>
        <w:rPr>
          <w:color w:val="auto"/>
          <w:highlight w:val="none"/>
        </w:rPr>
        <w:t>国政府采购法》第二十二条规定应当具备的条件；</w:t>
      </w:r>
    </w:p>
    <w:p>
      <w:pPr>
        <w:pStyle w:val="2"/>
        <w:numPr>
          <w:ilvl w:val="0"/>
          <w:numId w:val="10"/>
        </w:numPr>
        <w:spacing w:line="360" w:lineRule="auto"/>
        <w:rPr>
          <w:color w:val="auto"/>
          <w:highlight w:val="none"/>
        </w:rPr>
      </w:pPr>
      <w:r>
        <w:rPr>
          <w:color w:val="auto"/>
          <w:highlight w:val="none"/>
        </w:rPr>
        <w:t>具有采购货物的生产或经营资格；</w:t>
      </w:r>
    </w:p>
    <w:p>
      <w:pPr>
        <w:pStyle w:val="2"/>
        <w:numPr>
          <w:ilvl w:val="0"/>
          <w:numId w:val="10"/>
        </w:numPr>
        <w:spacing w:line="360" w:lineRule="auto"/>
        <w:rPr>
          <w:color w:val="auto"/>
          <w:highlight w:val="none"/>
        </w:rPr>
      </w:pPr>
      <w:r>
        <w:rPr>
          <w:color w:val="auto"/>
          <w:highlight w:val="none"/>
        </w:rPr>
        <w:t>代理商必须提供设备制造商对本项目的授权书原件</w:t>
      </w:r>
      <w:r>
        <w:rPr>
          <w:rFonts w:hint="eastAsia"/>
          <w:color w:val="auto"/>
          <w:highlight w:val="none"/>
          <w:lang w:eastAsia="zh-CN"/>
        </w:rPr>
        <w:t>或电子扫描件</w:t>
      </w:r>
      <w:r>
        <w:rPr>
          <w:color w:val="auto"/>
          <w:highlight w:val="none"/>
        </w:rPr>
        <w:t>；</w:t>
      </w:r>
    </w:p>
    <w:p>
      <w:pPr>
        <w:pStyle w:val="2"/>
        <w:numPr>
          <w:ilvl w:val="0"/>
          <w:numId w:val="10"/>
        </w:numPr>
        <w:spacing w:line="360" w:lineRule="auto"/>
        <w:rPr>
          <w:color w:val="auto"/>
          <w:highlight w:val="none"/>
        </w:rPr>
      </w:pPr>
      <w:r>
        <w:rPr>
          <w:color w:val="auto"/>
          <w:highlight w:val="none"/>
        </w:rPr>
        <w:t>要求提供已完成合同的用户清单、合同原件</w:t>
      </w:r>
      <w:r>
        <w:rPr>
          <w:rFonts w:hint="eastAsia"/>
          <w:color w:val="auto"/>
          <w:highlight w:val="none"/>
        </w:rPr>
        <w:t>或电子扫描件</w:t>
      </w:r>
      <w:r>
        <w:rPr>
          <w:color w:val="auto"/>
          <w:highlight w:val="none"/>
        </w:rPr>
        <w:t>。</w:t>
      </w:r>
    </w:p>
    <w:p>
      <w:pPr>
        <w:pStyle w:val="2"/>
        <w:numPr>
          <w:ilvl w:val="0"/>
          <w:numId w:val="4"/>
        </w:numPr>
        <w:spacing w:line="360" w:lineRule="auto"/>
        <w:rPr>
          <w:color w:val="auto"/>
        </w:rPr>
      </w:pPr>
      <w:r>
        <w:rPr>
          <w:rFonts w:hint="eastAsia"/>
          <w:color w:val="auto"/>
        </w:rPr>
        <w:t xml:space="preserve">  </w:t>
      </w:r>
      <w:r>
        <w:rPr>
          <w:color w:val="auto"/>
        </w:rPr>
        <w:t>付款方式约定及要求</w:t>
      </w:r>
    </w:p>
    <w:p>
      <w:pPr>
        <w:pStyle w:val="2"/>
        <w:numPr>
          <w:ilvl w:val="0"/>
          <w:numId w:val="11"/>
        </w:numPr>
        <w:spacing w:line="360" w:lineRule="auto"/>
        <w:rPr>
          <w:color w:val="auto"/>
        </w:rPr>
      </w:pPr>
      <w:r>
        <w:rPr>
          <w:color w:val="auto"/>
        </w:rPr>
        <w:t>供应商须向采购人缴纳5%合同款作为履约保证金；</w:t>
      </w:r>
    </w:p>
    <w:p>
      <w:pPr>
        <w:pStyle w:val="2"/>
        <w:numPr>
          <w:ilvl w:val="0"/>
          <w:numId w:val="11"/>
        </w:numPr>
        <w:spacing w:line="360" w:lineRule="auto"/>
        <w:rPr>
          <w:color w:val="auto"/>
        </w:rPr>
      </w:pPr>
      <w:r>
        <w:rPr>
          <w:color w:val="auto"/>
        </w:rPr>
        <w:t>合同签订后，采购人支付40%合同款；</w:t>
      </w:r>
    </w:p>
    <w:p>
      <w:pPr>
        <w:pStyle w:val="2"/>
        <w:numPr>
          <w:ilvl w:val="0"/>
          <w:numId w:val="11"/>
        </w:numPr>
        <w:spacing w:line="360" w:lineRule="auto"/>
        <w:rPr>
          <w:color w:val="auto"/>
        </w:rPr>
      </w:pPr>
      <w:r>
        <w:rPr>
          <w:color w:val="auto"/>
        </w:rPr>
        <w:t>设备制造完成、经过出场检测并达到出厂标准后，运送到采购人指定的地点后，采购人确认合格后支付50%合同款；</w:t>
      </w:r>
    </w:p>
    <w:p>
      <w:pPr>
        <w:pStyle w:val="2"/>
        <w:numPr>
          <w:ilvl w:val="0"/>
          <w:numId w:val="11"/>
        </w:numPr>
        <w:spacing w:line="360" w:lineRule="auto"/>
        <w:rPr>
          <w:color w:val="auto"/>
        </w:rPr>
      </w:pPr>
      <w:r>
        <w:rPr>
          <w:color w:val="auto"/>
        </w:rPr>
        <w:t>系统满足所有技术指标且验收合格</w:t>
      </w:r>
      <w:r>
        <w:rPr>
          <w:rFonts w:hint="eastAsia"/>
          <w:color w:val="auto"/>
        </w:rPr>
        <w:t>确认</w:t>
      </w:r>
      <w:r>
        <w:rPr>
          <w:color w:val="auto"/>
        </w:rPr>
        <w:t>后，采购人支付10%合同</w:t>
      </w:r>
      <w:r>
        <w:rPr>
          <w:rFonts w:hint="eastAsia"/>
          <w:color w:val="auto"/>
        </w:rPr>
        <w:t>尾</w:t>
      </w:r>
      <w:r>
        <w:rPr>
          <w:color w:val="auto"/>
        </w:rPr>
        <w:t>款，进入质保期，履约金转为质保金；</w:t>
      </w:r>
    </w:p>
    <w:p>
      <w:pPr>
        <w:pStyle w:val="2"/>
        <w:numPr>
          <w:ilvl w:val="0"/>
          <w:numId w:val="11"/>
        </w:numPr>
        <w:spacing w:line="360" w:lineRule="auto"/>
        <w:rPr>
          <w:color w:val="auto"/>
        </w:rPr>
      </w:pPr>
      <w:r>
        <w:rPr>
          <w:color w:val="auto"/>
        </w:rPr>
        <w:t>质量保证期内需完成合同中有关质量保证技术要求，质量保证期满，经采购人确认后，采购人退还5%</w:t>
      </w:r>
      <w:bookmarkStart w:id="5" w:name="OLE_LINK2"/>
      <w:r>
        <w:rPr>
          <w:color w:val="auto"/>
        </w:rPr>
        <w:t>质保</w:t>
      </w:r>
      <w:bookmarkEnd w:id="5"/>
      <w:r>
        <w:rPr>
          <w:color w:val="auto"/>
        </w:rPr>
        <w:t>金，如未能在质量保证期内完成相关质量保证要求，则视具体情况扣除0.5%~5%质保金，不视为违约；</w:t>
      </w:r>
    </w:p>
    <w:p>
      <w:pPr>
        <w:pStyle w:val="2"/>
        <w:numPr>
          <w:ilvl w:val="0"/>
          <w:numId w:val="11"/>
        </w:numPr>
        <w:spacing w:line="360" w:lineRule="auto"/>
        <w:rPr>
          <w:color w:val="auto"/>
        </w:rPr>
      </w:pPr>
      <w:r>
        <w:rPr>
          <w:color w:val="auto"/>
        </w:rPr>
        <w:t>供应商需在各阶段付款前提供有效发票。</w:t>
      </w:r>
    </w:p>
    <w:p>
      <w:pPr>
        <w:pStyle w:val="2"/>
        <w:spacing w:line="360" w:lineRule="auto"/>
        <w:ind w:firstLine="424" w:firstLineChars="177"/>
        <w:rPr>
          <w:color w:val="auto"/>
        </w:rPr>
      </w:pPr>
      <w:r>
        <w:rPr>
          <w:color w:val="auto"/>
        </w:rPr>
        <w:t>注：上述所有付款，必须在国拨经费下拨后进行支付，如采购人国拨经费未到账，则不视为违约。</w:t>
      </w:r>
    </w:p>
    <w:p>
      <w:pPr>
        <w:pStyle w:val="2"/>
        <w:spacing w:line="360" w:lineRule="auto"/>
      </w:pPr>
      <w:r>
        <w:rPr>
          <w:rFonts w:hint="eastAsia"/>
          <w:color w:val="auto"/>
        </w:rPr>
        <w:t xml:space="preserve">9  </w:t>
      </w:r>
      <w:r>
        <w:rPr>
          <w:color w:val="auto"/>
        </w:rPr>
        <w:t>其他未尽事宜，待中标后视情况在技术协议中由双方共同商定。</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D39E5"/>
    <w:multiLevelType w:val="multilevel"/>
    <w:tmpl w:val="074D39E5"/>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0DAC2ED3"/>
    <w:multiLevelType w:val="multilevel"/>
    <w:tmpl w:val="0DAC2ED3"/>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20DD75AD"/>
    <w:multiLevelType w:val="multilevel"/>
    <w:tmpl w:val="20DD75AD"/>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3113F199"/>
    <w:multiLevelType w:val="singleLevel"/>
    <w:tmpl w:val="3113F199"/>
    <w:lvl w:ilvl="0" w:tentative="0">
      <w:start w:val="1"/>
      <w:numFmt w:val="decimal"/>
      <w:lvlText w:val="%1)"/>
      <w:lvlJc w:val="left"/>
      <w:pPr>
        <w:tabs>
          <w:tab w:val="left" w:pos="840"/>
        </w:tabs>
        <w:ind w:left="1265" w:hanging="425"/>
      </w:pPr>
      <w:rPr>
        <w:rFonts w:hint="default"/>
      </w:rPr>
    </w:lvl>
  </w:abstractNum>
  <w:abstractNum w:abstractNumId="4">
    <w:nsid w:val="379F1662"/>
    <w:multiLevelType w:val="multilevel"/>
    <w:tmpl w:val="379F1662"/>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3C08488E"/>
    <w:multiLevelType w:val="multilevel"/>
    <w:tmpl w:val="3C08488E"/>
    <w:lvl w:ilvl="0" w:tentative="0">
      <w:start w:val="1"/>
      <w:numFmt w:val="decimal"/>
      <w:lvlText w:val="%1."/>
      <w:lvlJc w:val="left"/>
      <w:pPr>
        <w:ind w:left="782" w:hanging="360"/>
      </w:pPr>
      <w:rPr>
        <w:rFonts w:hint="default"/>
      </w:rPr>
    </w:lvl>
    <w:lvl w:ilvl="1" w:tentative="0">
      <w:start w:val="2"/>
      <w:numFmt w:val="decimal"/>
      <w:isLgl/>
      <w:lvlText w:val="%1.%2"/>
      <w:lvlJc w:val="left"/>
      <w:pPr>
        <w:ind w:left="782" w:hanging="360"/>
      </w:pPr>
      <w:rPr>
        <w:rFonts w:hint="default"/>
      </w:rPr>
    </w:lvl>
    <w:lvl w:ilvl="2" w:tentative="0">
      <w:start w:val="1"/>
      <w:numFmt w:val="decimal"/>
      <w:isLgl/>
      <w:lvlText w:val="%1.%2.%3"/>
      <w:lvlJc w:val="left"/>
      <w:pPr>
        <w:ind w:left="1142" w:hanging="720"/>
      </w:pPr>
      <w:rPr>
        <w:rFonts w:hint="default"/>
      </w:rPr>
    </w:lvl>
    <w:lvl w:ilvl="3" w:tentative="0">
      <w:start w:val="1"/>
      <w:numFmt w:val="decimal"/>
      <w:isLgl/>
      <w:lvlText w:val="%1.%2.%3.%4"/>
      <w:lvlJc w:val="left"/>
      <w:pPr>
        <w:ind w:left="1502" w:hanging="1080"/>
      </w:pPr>
      <w:rPr>
        <w:rFonts w:hint="default"/>
      </w:rPr>
    </w:lvl>
    <w:lvl w:ilvl="4" w:tentative="0">
      <w:start w:val="1"/>
      <w:numFmt w:val="decimal"/>
      <w:isLgl/>
      <w:lvlText w:val="%1.%2.%3.%4.%5"/>
      <w:lvlJc w:val="left"/>
      <w:pPr>
        <w:ind w:left="1502" w:hanging="1080"/>
      </w:pPr>
      <w:rPr>
        <w:rFonts w:hint="default"/>
      </w:rPr>
    </w:lvl>
    <w:lvl w:ilvl="5" w:tentative="0">
      <w:start w:val="1"/>
      <w:numFmt w:val="decimal"/>
      <w:isLgl/>
      <w:lvlText w:val="%1.%2.%3.%4.%5.%6"/>
      <w:lvlJc w:val="left"/>
      <w:pPr>
        <w:ind w:left="1862" w:hanging="1440"/>
      </w:pPr>
      <w:rPr>
        <w:rFonts w:hint="default"/>
      </w:rPr>
    </w:lvl>
    <w:lvl w:ilvl="6" w:tentative="0">
      <w:start w:val="1"/>
      <w:numFmt w:val="decimal"/>
      <w:isLgl/>
      <w:lvlText w:val="%1.%2.%3.%4.%5.%6.%7"/>
      <w:lvlJc w:val="left"/>
      <w:pPr>
        <w:ind w:left="1862" w:hanging="1440"/>
      </w:pPr>
      <w:rPr>
        <w:rFonts w:hint="default"/>
      </w:rPr>
    </w:lvl>
    <w:lvl w:ilvl="7" w:tentative="0">
      <w:start w:val="1"/>
      <w:numFmt w:val="decimal"/>
      <w:isLgl/>
      <w:lvlText w:val="%1.%2.%3.%4.%5.%6.%7.%8"/>
      <w:lvlJc w:val="left"/>
      <w:pPr>
        <w:ind w:left="2222" w:hanging="1800"/>
      </w:pPr>
      <w:rPr>
        <w:rFonts w:hint="default"/>
      </w:rPr>
    </w:lvl>
    <w:lvl w:ilvl="8" w:tentative="0">
      <w:start w:val="1"/>
      <w:numFmt w:val="decimal"/>
      <w:isLgl/>
      <w:lvlText w:val="%1.%2.%3.%4.%5.%6.%7.%8.%9"/>
      <w:lvlJc w:val="left"/>
      <w:pPr>
        <w:ind w:left="2222" w:hanging="1800"/>
      </w:pPr>
      <w:rPr>
        <w:rFonts w:hint="default"/>
      </w:rPr>
    </w:lvl>
  </w:abstractNum>
  <w:abstractNum w:abstractNumId="6">
    <w:nsid w:val="5D820918"/>
    <w:multiLevelType w:val="multilevel"/>
    <w:tmpl w:val="5D820918"/>
    <w:lvl w:ilvl="0" w:tentative="0">
      <w:start w:val="3"/>
      <w:numFmt w:val="decimal"/>
      <w:lvlText w:val="%1"/>
      <w:lvlJc w:val="left"/>
      <w:pPr>
        <w:ind w:left="360" w:hanging="360"/>
      </w:pPr>
      <w:rPr>
        <w:rFonts w:hint="default" w:ascii="Times New Roman" w:hAnsi="Times New Roman" w:eastAsia="宋体" w:cs="Times New Roman"/>
        <w:color w:val="auto"/>
        <w:sz w:val="21"/>
      </w:rPr>
    </w:lvl>
    <w:lvl w:ilvl="1" w:tentative="0">
      <w:start w:val="1"/>
      <w:numFmt w:val="decimal"/>
      <w:lvlText w:val="%1.%2"/>
      <w:lvlJc w:val="left"/>
      <w:pPr>
        <w:ind w:left="360" w:hanging="360"/>
      </w:pPr>
      <w:rPr>
        <w:rFonts w:hint="default" w:ascii="Times New Roman" w:hAnsi="Times New Roman" w:eastAsia="宋体" w:cs="Times New Roman"/>
        <w:color w:val="auto"/>
        <w:sz w:val="21"/>
      </w:rPr>
    </w:lvl>
    <w:lvl w:ilvl="2" w:tentative="0">
      <w:start w:val="1"/>
      <w:numFmt w:val="decimal"/>
      <w:lvlText w:val="%1.%2.%3"/>
      <w:lvlJc w:val="left"/>
      <w:pPr>
        <w:ind w:left="720" w:hanging="720"/>
      </w:pPr>
      <w:rPr>
        <w:rFonts w:hint="default" w:ascii="Times New Roman" w:hAnsi="Times New Roman" w:eastAsia="宋体" w:cs="Times New Roman"/>
        <w:color w:val="auto"/>
        <w:sz w:val="21"/>
      </w:rPr>
    </w:lvl>
    <w:lvl w:ilvl="3" w:tentative="0">
      <w:start w:val="1"/>
      <w:numFmt w:val="decimal"/>
      <w:lvlText w:val="%1.%2.%3.%4"/>
      <w:lvlJc w:val="left"/>
      <w:pPr>
        <w:ind w:left="1080" w:hanging="1080"/>
      </w:pPr>
      <w:rPr>
        <w:rFonts w:hint="default" w:ascii="Times New Roman" w:hAnsi="Times New Roman" w:eastAsia="宋体" w:cs="Times New Roman"/>
        <w:color w:val="auto"/>
        <w:sz w:val="21"/>
      </w:rPr>
    </w:lvl>
    <w:lvl w:ilvl="4" w:tentative="0">
      <w:start w:val="1"/>
      <w:numFmt w:val="decimal"/>
      <w:lvlText w:val="%1.%2.%3.%4.%5"/>
      <w:lvlJc w:val="left"/>
      <w:pPr>
        <w:ind w:left="1080" w:hanging="1080"/>
      </w:pPr>
      <w:rPr>
        <w:rFonts w:hint="default" w:ascii="Times New Roman" w:hAnsi="Times New Roman" w:eastAsia="宋体" w:cs="Times New Roman"/>
        <w:color w:val="auto"/>
        <w:sz w:val="21"/>
      </w:rPr>
    </w:lvl>
    <w:lvl w:ilvl="5" w:tentative="0">
      <w:start w:val="1"/>
      <w:numFmt w:val="decimal"/>
      <w:lvlText w:val="%1.%2.%3.%4.%5.%6"/>
      <w:lvlJc w:val="left"/>
      <w:pPr>
        <w:ind w:left="1440" w:hanging="1440"/>
      </w:pPr>
      <w:rPr>
        <w:rFonts w:hint="default" w:ascii="Times New Roman" w:hAnsi="Times New Roman" w:eastAsia="宋体" w:cs="Times New Roman"/>
        <w:color w:val="auto"/>
        <w:sz w:val="21"/>
      </w:rPr>
    </w:lvl>
    <w:lvl w:ilvl="6" w:tentative="0">
      <w:start w:val="1"/>
      <w:numFmt w:val="decimal"/>
      <w:lvlText w:val="%1.%2.%3.%4.%5.%6.%7"/>
      <w:lvlJc w:val="left"/>
      <w:pPr>
        <w:ind w:left="1800" w:hanging="1800"/>
      </w:pPr>
      <w:rPr>
        <w:rFonts w:hint="default" w:ascii="Times New Roman" w:hAnsi="Times New Roman" w:eastAsia="宋体" w:cs="Times New Roman"/>
        <w:color w:val="auto"/>
        <w:sz w:val="21"/>
      </w:rPr>
    </w:lvl>
    <w:lvl w:ilvl="7" w:tentative="0">
      <w:start w:val="1"/>
      <w:numFmt w:val="decimal"/>
      <w:lvlText w:val="%1.%2.%3.%4.%5.%6.%7.%8"/>
      <w:lvlJc w:val="left"/>
      <w:pPr>
        <w:ind w:left="1800" w:hanging="1800"/>
      </w:pPr>
      <w:rPr>
        <w:rFonts w:hint="default" w:ascii="Times New Roman" w:hAnsi="Times New Roman" w:eastAsia="宋体" w:cs="Times New Roman"/>
        <w:color w:val="auto"/>
        <w:sz w:val="21"/>
      </w:rPr>
    </w:lvl>
    <w:lvl w:ilvl="8" w:tentative="0">
      <w:start w:val="1"/>
      <w:numFmt w:val="decimal"/>
      <w:lvlText w:val="%1.%2.%3.%4.%5.%6.%7.%8.%9"/>
      <w:lvlJc w:val="left"/>
      <w:pPr>
        <w:ind w:left="2160" w:hanging="2160"/>
      </w:pPr>
      <w:rPr>
        <w:rFonts w:hint="default" w:ascii="Times New Roman" w:hAnsi="Times New Roman" w:eastAsia="宋体" w:cs="Times New Roman"/>
        <w:color w:val="auto"/>
        <w:sz w:val="21"/>
      </w:rPr>
    </w:lvl>
  </w:abstractNum>
  <w:abstractNum w:abstractNumId="7">
    <w:nsid w:val="5E8979F9"/>
    <w:multiLevelType w:val="multilevel"/>
    <w:tmpl w:val="5E8979F9"/>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F0E6EE8"/>
    <w:multiLevelType w:val="multilevel"/>
    <w:tmpl w:val="5F0E6EE8"/>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9">
    <w:nsid w:val="70011B3F"/>
    <w:multiLevelType w:val="multilevel"/>
    <w:tmpl w:val="70011B3F"/>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
    <w:nsid w:val="7D697160"/>
    <w:multiLevelType w:val="multilevel"/>
    <w:tmpl w:val="7D697160"/>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5"/>
  </w:num>
  <w:num w:numId="2">
    <w:abstractNumId w:val="7"/>
  </w:num>
  <w:num w:numId="3">
    <w:abstractNumId w:val="3"/>
  </w:num>
  <w:num w:numId="4">
    <w:abstractNumId w:val="6"/>
  </w:num>
  <w:num w:numId="5">
    <w:abstractNumId w:val="10"/>
  </w:num>
  <w:num w:numId="6">
    <w:abstractNumId w:val="8"/>
  </w:num>
  <w:num w:numId="7">
    <w:abstractNumId w:val="4"/>
  </w:num>
  <w:num w:numId="8">
    <w:abstractNumId w:val="9"/>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BF6E88"/>
    <w:rsid w:val="688123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outlineLvl w:val="1"/>
    </w:pPr>
    <w:rPr>
      <w:rFonts w:ascii="Arial" w:hAnsi="Arial" w:eastAsia="黑体"/>
      <w:bCs/>
      <w:sz w:val="28"/>
      <w:szCs w:val="32"/>
    </w:rPr>
  </w:style>
  <w:style w:type="character" w:default="1" w:styleId="5">
    <w:name w:val="Default Paragraph Font"/>
    <w:semiHidden/>
    <w:uiPriority w:val="0"/>
  </w:style>
  <w:style w:type="table" w:default="1" w:styleId="4">
    <w:name w:val="Normal Table"/>
    <w:semiHidden/>
    <w:uiPriority w:val="0"/>
    <w:tblPr>
      <w:tblStyle w:val="4"/>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2021-11-10T06:05:46Z</dcterms:created>
  <dc:creator>Administrator</dc:creator>
  <cp:lastModifiedBy>邱实</cp:lastModifiedBy>
  <dcterms:modified xsi:type="dcterms:W3CDTF">2021-11-10T06:24:15Z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