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我单位在参加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哈尔滨工业大学附属中学校高中部学生公寓床采购及安装项目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（2022-GFCG-148）的招投标活动中，郑重承诺如下：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三、不与其他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相互串通报价，不排挤其他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的公平竞争；不与有关联关系的其他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六、不以他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授权委托人签字：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402</Words>
  <Characters>414</Characters>
  <Lines>3</Lines>
  <Paragraphs>1</Paragraphs>
  <TotalTime>1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Administrator</cp:lastModifiedBy>
  <dcterms:modified xsi:type="dcterms:W3CDTF">2022-06-27T06:42:51Z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