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ind w:left="220" w:leftChars="0" w:right="220"/>
        <w:rPr>
          <w:rFonts w:asciiTheme="minorEastAsia" w:hAnsiTheme="minorEastAsia" w:eastAsiaTheme="minorEastAsia"/>
        </w:rPr>
      </w:pPr>
      <w:bookmarkStart w:id="0" w:name="_Toc20473792"/>
      <w:r>
        <w:rPr>
          <w:rFonts w:hint="eastAsia" w:asciiTheme="minorEastAsia" w:hAnsiTheme="minorEastAsia" w:eastAsiaTheme="minorEastAsia"/>
        </w:rPr>
        <w:t>采购人需求</w:t>
      </w:r>
      <w:bookmarkEnd w:id="0"/>
    </w:p>
    <w:p>
      <w:pPr>
        <w:pStyle w:val="19"/>
        <w:spacing w:line="360" w:lineRule="auto"/>
        <w:rPr>
          <w:rFonts w:hint="eastAsia"/>
          <w:b w:val="0"/>
          <w:bCs/>
          <w:color w:val="auto"/>
          <w:highlight w:val="none"/>
        </w:rPr>
      </w:pPr>
    </w:p>
    <w:p>
      <w:pPr>
        <w:keepLines/>
        <w:widowControl w:val="0"/>
        <w:adjustRightInd/>
        <w:snapToGrid/>
        <w:spacing w:after="0"/>
        <w:ind w:firstLine="360" w:firstLineChars="150"/>
        <w:jc w:val="both"/>
        <w:rPr>
          <w:rFonts w:hint="eastAsia" w:asciiTheme="minorEastAsia" w:hAnsiTheme="minorEastAsia" w:eastAsiaTheme="minorEastAsia"/>
          <w:sz w:val="24"/>
          <w:szCs w:val="24"/>
          <w:lang w:val="en-US" w:eastAsia="zh-CN"/>
        </w:rPr>
      </w:pPr>
      <w:bookmarkStart w:id="1" w:name="_Toc107408675"/>
      <w:bookmarkStart w:id="2" w:name="_Toc511661025"/>
      <w:r>
        <w:rPr>
          <w:rFonts w:hint="eastAsia" w:asciiTheme="minorEastAsia" w:hAnsiTheme="minorEastAsia" w:eastAsiaTheme="minorEastAsia"/>
          <w:sz w:val="24"/>
          <w:szCs w:val="24"/>
          <w:lang w:val="en-US" w:eastAsia="zh-CN"/>
        </w:rPr>
        <w:t>一、项目概况</w:t>
      </w:r>
      <w:bookmarkEnd w:id="1"/>
      <w:bookmarkEnd w:id="2"/>
    </w:p>
    <w:p>
      <w:pPr>
        <w:keepLines/>
        <w:widowControl w:val="0"/>
        <w:adjustRightInd/>
        <w:snapToGrid/>
        <w:spacing w:after="0"/>
        <w:ind w:firstLine="360" w:firstLineChars="150"/>
        <w:jc w:val="both"/>
        <w:rPr>
          <w:rFonts w:hint="eastAsia" w:asciiTheme="minorEastAsia" w:hAnsiTheme="minorEastAsia" w:eastAsiaTheme="minorEastAsia"/>
          <w:sz w:val="24"/>
          <w:szCs w:val="24"/>
          <w:lang w:val="sq-AL" w:eastAsia="zh-CN"/>
        </w:rPr>
      </w:pPr>
      <w:bookmarkStart w:id="3" w:name="_Toc511661026"/>
      <w:bookmarkStart w:id="4" w:name="_Toc107408676"/>
      <w:r>
        <w:rPr>
          <w:rFonts w:hint="eastAsia" w:asciiTheme="minorEastAsia" w:hAnsiTheme="minorEastAsia" w:eastAsiaTheme="minorEastAsia"/>
          <w:sz w:val="24"/>
          <w:szCs w:val="24"/>
          <w:lang w:val="sq-AL" w:eastAsia="zh-CN"/>
        </w:rPr>
        <w:t>1、建设目标</w:t>
      </w:r>
      <w:bookmarkEnd w:id="3"/>
      <w:bookmarkEnd w:id="4"/>
    </w:p>
    <w:p>
      <w:pPr>
        <w:keepLines/>
        <w:widowControl w:val="0"/>
        <w:adjustRightInd/>
        <w:snapToGrid/>
        <w:spacing w:after="0"/>
        <w:ind w:firstLine="360" w:firstLineChars="150"/>
        <w:jc w:val="both"/>
        <w:rPr>
          <w:rFonts w:hint="eastAsia" w:asciiTheme="minorEastAsia" w:hAnsiTheme="minorEastAsia" w:eastAsiaTheme="minorEastAsia"/>
          <w:sz w:val="24"/>
          <w:szCs w:val="24"/>
        </w:rPr>
      </w:pPr>
      <w:bookmarkStart w:id="5" w:name="_Toc511661027"/>
      <w:r>
        <w:rPr>
          <w:rFonts w:hint="eastAsia" w:asciiTheme="minorEastAsia" w:hAnsiTheme="minorEastAsia" w:eastAsiaTheme="minorEastAsia"/>
          <w:sz w:val="24"/>
          <w:szCs w:val="24"/>
        </w:rPr>
        <w:t>哈尔滨工业大学公寓有线网络系统的建设目标是实现师生在公寓中可以随时随地使用校园网。为解决哈尔滨工业大学公寓有线网部分接入交换机运行多年，型号老旧、质保已过多年、运行时故障频繁、性能不能满足当前大流量需求、不支持端口隔离等功能，影响网络稳定的问题和隐患，需要采购一批交换机逐步进行替换，为业务</w:t>
      </w:r>
      <w:bookmarkStart w:id="23" w:name="_GoBack"/>
      <w:bookmarkEnd w:id="23"/>
      <w:r>
        <w:rPr>
          <w:rFonts w:hint="eastAsia" w:asciiTheme="minorEastAsia" w:hAnsiTheme="minorEastAsia" w:eastAsiaTheme="minorEastAsia"/>
          <w:sz w:val="24"/>
          <w:szCs w:val="24"/>
        </w:rPr>
        <w:t>管理提供可靠的软硬件平台。为内部的相关业务开展和管理提供一个高速优质的数据通信系统。</w:t>
      </w:r>
    </w:p>
    <w:p>
      <w:pPr>
        <w:keepLines/>
        <w:widowControl w:val="0"/>
        <w:adjustRightInd/>
        <w:snapToGrid/>
        <w:spacing w:after="0"/>
        <w:ind w:firstLine="360" w:firstLineChars="150"/>
        <w:jc w:val="both"/>
        <w:rPr>
          <w:rFonts w:hint="eastAsia" w:asciiTheme="minorEastAsia" w:hAnsiTheme="minorEastAsia" w:eastAsiaTheme="minorEastAsia"/>
          <w:sz w:val="24"/>
          <w:szCs w:val="24"/>
          <w:lang w:val="sq-AL" w:eastAsia="zh-CN"/>
        </w:rPr>
      </w:pPr>
      <w:bookmarkStart w:id="6" w:name="_Toc107408677"/>
      <w:r>
        <w:rPr>
          <w:rFonts w:hint="eastAsia" w:asciiTheme="minorEastAsia" w:hAnsiTheme="minorEastAsia" w:eastAsiaTheme="minorEastAsia"/>
          <w:sz w:val="24"/>
          <w:szCs w:val="24"/>
          <w:lang w:val="sq-AL" w:eastAsia="zh-CN"/>
        </w:rPr>
        <w:t>2、预期的建设效果</w:t>
      </w:r>
      <w:bookmarkEnd w:id="5"/>
      <w:bookmarkEnd w:id="6"/>
    </w:p>
    <w:p>
      <w:pPr>
        <w:keepLines/>
        <w:widowControl w:val="0"/>
        <w:adjustRightInd/>
        <w:snapToGrid/>
        <w:spacing w:after="0"/>
        <w:ind w:firstLine="360" w:firstLineChars="150"/>
        <w:jc w:val="both"/>
        <w:rPr>
          <w:rFonts w:hint="eastAsia" w:asciiTheme="minorEastAsia" w:hAnsiTheme="minorEastAsia" w:eastAsiaTheme="minorEastAsia"/>
          <w:sz w:val="24"/>
          <w:szCs w:val="24"/>
        </w:rPr>
      </w:pPr>
      <w:bookmarkStart w:id="7" w:name="_Toc511661028"/>
      <w:r>
        <w:rPr>
          <w:rFonts w:hint="eastAsia" w:asciiTheme="minorEastAsia" w:hAnsiTheme="minorEastAsia" w:eastAsiaTheme="minorEastAsia"/>
          <w:sz w:val="24"/>
          <w:szCs w:val="24"/>
        </w:rPr>
        <w:t>网络系统是所有业务的传输平台，其可靠稳定性直接影响网络内运行的各种应用系统的正常工作。所以，保证网络系统的可靠性至关重要。随着应用的发展，学校越来越依赖网络来开展业务，并且正在寻求通过单一的基础设施来承载语音、视频和关键性应用的数据流，因此拥有一个能够提供运营商级可用性的网络已经变得日益重要。由于网络当今用户需要付出巨大的代价，将失去许多比金钱更有价值的东西，包括重要的信息、客户的信任和许多重要的通信等。另外，网络当机也会影响网络其他部分的工作，举例来说，在网络发生故障时防火墙和安全应用停止工作，如果非法的数据流进入学校网络，则学校的安全将会受到威胁。</w:t>
      </w:r>
    </w:p>
    <w:p>
      <w:pPr>
        <w:keepLines/>
        <w:widowControl w:val="0"/>
        <w:adjustRightInd/>
        <w:snapToGrid/>
        <w:spacing w:after="0"/>
        <w:ind w:firstLine="360" w:firstLineChars="150"/>
        <w:jc w:val="both"/>
        <w:rPr>
          <w:rFonts w:hint="eastAsia" w:asciiTheme="minorEastAsia" w:hAnsiTheme="minorEastAsia" w:eastAsiaTheme="minorEastAsia"/>
          <w:sz w:val="24"/>
          <w:szCs w:val="24"/>
          <w:lang w:val="en-US" w:eastAsia="zh-CN"/>
        </w:rPr>
      </w:pPr>
      <w:bookmarkStart w:id="8" w:name="_Toc107408678"/>
      <w:r>
        <w:rPr>
          <w:rFonts w:hint="eastAsia" w:asciiTheme="minorEastAsia" w:hAnsiTheme="minorEastAsia" w:eastAsiaTheme="minorEastAsia"/>
          <w:sz w:val="24"/>
          <w:szCs w:val="24"/>
          <w:lang w:val="en-US" w:eastAsia="zh-CN"/>
        </w:rPr>
        <w:t>二、项目需求描述</w:t>
      </w:r>
      <w:bookmarkEnd w:id="7"/>
      <w:bookmarkEnd w:id="8"/>
    </w:p>
    <w:p>
      <w:pPr>
        <w:keepLines/>
        <w:widowControl w:val="0"/>
        <w:adjustRightInd/>
        <w:snapToGrid/>
        <w:spacing w:after="0"/>
        <w:ind w:firstLine="360" w:firstLineChars="150"/>
        <w:jc w:val="both"/>
        <w:rPr>
          <w:rFonts w:hint="eastAsia" w:asciiTheme="minorEastAsia" w:hAnsiTheme="minorEastAsia" w:eastAsiaTheme="minorEastAsia"/>
          <w:sz w:val="24"/>
          <w:szCs w:val="24"/>
        </w:rPr>
      </w:pPr>
      <w:bookmarkStart w:id="9" w:name="_Toc511661029"/>
      <w:r>
        <w:rPr>
          <w:rFonts w:hint="eastAsia" w:asciiTheme="minorEastAsia" w:hAnsiTheme="minorEastAsia" w:eastAsiaTheme="minorEastAsia"/>
          <w:sz w:val="24"/>
          <w:szCs w:val="24"/>
        </w:rPr>
        <w:t>网络系统涉及面广，对采用的网络设备，网络技术有非常高的要求，针对项目的需求描述如下：</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1.使用以高速背板带宽交换技术为主干的网络技术</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提供标准化、高速度的局域网连接，可以在同一个网络中支持多种服务质量(QOS)，以支持目前和未来信息应用和拓展的需求。</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2.所选用的设备和技术符合国际标准</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网络中使用的设备和协议应完全符合国际通用的技术标准，兼容大多数的网络环境，提供很好的互联性和兼容性。</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3.网络提供足够的带宽和丰富的接口形式</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针对用户的实际情况，满足应用和带宽的基本需要，并保留一定的余量供扩展使用，最大可能地降低网络传输的延迟。</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4.网络有很高的安全可靠性、稳定性</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采用有效的网络安全技术阻止内部非授权的访问和病毒的感染，保护整个网络平台和系统安全。</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5.网络有良好的可扩充性</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对未来的应用和技术有一定的前瞻性，随着网络的规模及其运行的应用在不断发展，系统应是成熟的，提供足够的扩充能力，并且适应未来业务发展的需要。</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6.网络易于安装、操作和维护</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通过新设备的替代，增加先进的协议及功能，保证网路稳定高效；网络中使用单一的网络管理软件来管理所有网络设备，对网络设备、VLAN等进行直观、灵活的配置，提供完整的网络拓扑图，可以根据网络的流量情况作出分析和建议。</w:t>
      </w:r>
    </w:p>
    <w:p>
      <w:pPr>
        <w:keepLines/>
        <w:widowControl w:val="0"/>
        <w:adjustRightInd/>
        <w:snapToGrid/>
        <w:spacing w:after="0"/>
        <w:ind w:firstLine="360" w:firstLineChars="150"/>
        <w:jc w:val="both"/>
        <w:rPr>
          <w:rFonts w:hint="eastAsia" w:asciiTheme="minorEastAsia" w:hAnsiTheme="minorEastAsia" w:eastAsiaTheme="minorEastAsia"/>
          <w:sz w:val="24"/>
          <w:szCs w:val="24"/>
          <w:lang w:val="en-US" w:eastAsia="zh-CN"/>
        </w:rPr>
      </w:pPr>
      <w:bookmarkStart w:id="10" w:name="_Toc107408679"/>
      <w:r>
        <w:rPr>
          <w:rFonts w:hint="eastAsia" w:asciiTheme="minorEastAsia" w:hAnsiTheme="minorEastAsia" w:eastAsiaTheme="minorEastAsia"/>
          <w:sz w:val="24"/>
          <w:szCs w:val="24"/>
          <w:lang w:val="en-US" w:eastAsia="zh-CN"/>
        </w:rPr>
        <w:t>三、项目技术要求</w:t>
      </w:r>
      <w:bookmarkEnd w:id="9"/>
      <w:bookmarkEnd w:id="10"/>
    </w:p>
    <w:p>
      <w:pPr>
        <w:keepLines/>
        <w:widowControl w:val="0"/>
        <w:adjustRightInd/>
        <w:snapToGrid/>
        <w:spacing w:after="0"/>
        <w:ind w:firstLine="360" w:firstLineChars="150"/>
        <w:jc w:val="both"/>
        <w:rPr>
          <w:rFonts w:hint="eastAsia" w:asciiTheme="minorEastAsia" w:hAnsiTheme="minorEastAsia" w:eastAsiaTheme="minorEastAsia"/>
          <w:sz w:val="24"/>
          <w:szCs w:val="24"/>
          <w:lang w:val="sq-AL" w:eastAsia="zh-CN"/>
        </w:rPr>
      </w:pPr>
      <w:bookmarkStart w:id="11" w:name="_Toc107408680"/>
      <w:bookmarkStart w:id="12" w:name="_Toc511661030"/>
      <w:r>
        <w:rPr>
          <w:rFonts w:hint="eastAsia" w:asciiTheme="minorEastAsia" w:hAnsiTheme="minorEastAsia" w:eastAsiaTheme="minorEastAsia"/>
          <w:sz w:val="24"/>
          <w:szCs w:val="24"/>
          <w:lang w:val="sq-AL" w:eastAsia="zh-CN"/>
        </w:rPr>
        <w:t>1、总体要求</w:t>
      </w:r>
      <w:bookmarkEnd w:id="11"/>
      <w:bookmarkEnd w:id="12"/>
    </w:p>
    <w:p>
      <w:pPr>
        <w:keepLines/>
        <w:widowControl w:val="0"/>
        <w:adjustRightInd/>
        <w:snapToGrid/>
        <w:spacing w:after="0"/>
        <w:ind w:firstLine="360" w:firstLineChars="150"/>
        <w:jc w:val="both"/>
        <w:rPr>
          <w:rFonts w:asciiTheme="minorEastAsia" w:hAnsiTheme="minorEastAsia" w:eastAsiaTheme="minorEastAsia"/>
          <w:sz w:val="24"/>
          <w:szCs w:val="24"/>
        </w:rPr>
      </w:pPr>
      <w:bookmarkStart w:id="13" w:name="_Toc511661031"/>
      <w:r>
        <w:rPr>
          <w:rFonts w:asciiTheme="minorEastAsia" w:hAnsiTheme="minorEastAsia" w:eastAsiaTheme="minorEastAsia"/>
          <w:sz w:val="24"/>
          <w:szCs w:val="24"/>
        </w:rPr>
        <w:t>结合现代网络技术发展趋势，确定网络设计所采用</w:t>
      </w:r>
      <w:r>
        <w:rPr>
          <w:rFonts w:hint="eastAsia" w:asciiTheme="minorEastAsia" w:hAnsiTheme="minorEastAsia" w:eastAsiaTheme="minorEastAsia"/>
          <w:sz w:val="24"/>
          <w:szCs w:val="24"/>
        </w:rPr>
        <w:t>的总体要求如下</w:t>
      </w:r>
      <w:r>
        <w:rPr>
          <w:rFonts w:asciiTheme="minorEastAsia" w:hAnsiTheme="minorEastAsia" w:eastAsiaTheme="minorEastAsia"/>
          <w:sz w:val="24"/>
          <w:szCs w:val="24"/>
        </w:rPr>
        <w:t>：</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安全可靠性</w:t>
      </w:r>
    </w:p>
    <w:p>
      <w:pPr>
        <w:keepLines/>
        <w:widowControl w:val="0"/>
        <w:adjustRightInd/>
        <w:snapToGrid/>
        <w:spacing w:after="0"/>
        <w:ind w:firstLine="360" w:firstLineChars="150"/>
        <w:jc w:val="both"/>
        <w:rPr>
          <w:rFonts w:asciiTheme="minorEastAsia" w:hAnsiTheme="minorEastAsia" w:eastAsiaTheme="minorEastAsia"/>
          <w:sz w:val="24"/>
          <w:szCs w:val="24"/>
        </w:rPr>
      </w:pPr>
      <w:r>
        <w:rPr>
          <w:rFonts w:hint="eastAsia" w:asciiTheme="minorEastAsia" w:hAnsiTheme="minorEastAsia" w:eastAsiaTheme="minorEastAsia"/>
          <w:sz w:val="24"/>
          <w:szCs w:val="24"/>
        </w:rPr>
        <w:t>公寓有线网络</w:t>
      </w:r>
      <w:r>
        <w:rPr>
          <w:rFonts w:asciiTheme="minorEastAsia" w:hAnsiTheme="minorEastAsia" w:eastAsiaTheme="minorEastAsia"/>
          <w:sz w:val="24"/>
          <w:szCs w:val="24"/>
        </w:rPr>
        <w:t>的</w:t>
      </w:r>
      <w:r>
        <w:rPr>
          <w:rFonts w:hint="eastAsia" w:asciiTheme="minorEastAsia" w:hAnsiTheme="minorEastAsia" w:eastAsiaTheme="minorEastAsia"/>
          <w:sz w:val="24"/>
          <w:szCs w:val="24"/>
        </w:rPr>
        <w:t>总体要求</w:t>
      </w:r>
      <w:r>
        <w:rPr>
          <w:rFonts w:asciiTheme="minorEastAsia" w:hAnsiTheme="minorEastAsia" w:eastAsiaTheme="minorEastAsia"/>
          <w:sz w:val="24"/>
          <w:szCs w:val="24"/>
        </w:rPr>
        <w:t>必须遵循可靠性的原则，设计中应尽可能减少因网络故障而造成的业务无法正常进行的现象的发生（如：因服务器或网络故障造成用户无法访问业务系统，进而无法进行正常业务的现象等）；同时，设计中还应注重信息安全体系的建设，提高网络的整体安全性，进一步保证数据安全。</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asciiTheme="minorEastAsia" w:hAnsiTheme="minorEastAsia" w:eastAsiaTheme="minorEastAsia"/>
          <w:sz w:val="24"/>
          <w:szCs w:val="24"/>
        </w:rPr>
        <w:t>先进成熟性</w:t>
      </w:r>
    </w:p>
    <w:p>
      <w:pPr>
        <w:keepLines/>
        <w:widowControl w:val="0"/>
        <w:adjustRightInd/>
        <w:snapToGrid/>
        <w:spacing w:after="0"/>
        <w:ind w:firstLine="360" w:firstLineChars="150"/>
        <w:jc w:val="both"/>
        <w:rPr>
          <w:rFonts w:asciiTheme="minorEastAsia" w:hAnsiTheme="minorEastAsia" w:eastAsiaTheme="minorEastAsia"/>
          <w:sz w:val="24"/>
          <w:szCs w:val="24"/>
        </w:rPr>
      </w:pPr>
      <w:r>
        <w:rPr>
          <w:rFonts w:hint="eastAsia" w:asciiTheme="minorEastAsia" w:hAnsiTheme="minorEastAsia" w:eastAsiaTheme="minorEastAsia"/>
          <w:sz w:val="24"/>
          <w:szCs w:val="24"/>
        </w:rPr>
        <w:t>公寓有线</w:t>
      </w:r>
      <w:r>
        <w:rPr>
          <w:rFonts w:asciiTheme="minorEastAsia" w:hAnsiTheme="minorEastAsia" w:eastAsiaTheme="minorEastAsia"/>
          <w:sz w:val="24"/>
          <w:szCs w:val="24"/>
        </w:rPr>
        <w:t>网络的设计应具有产品和技术先进性，先进的产品和技术是未来系统性能的保证。在信息技术飞速发展的今天，我们选择的产品和技术应具有一定的前瞻性，能够适应未来一段时间（</w:t>
      </w:r>
      <w:r>
        <w:rPr>
          <w:rFonts w:hint="eastAsia" w:asciiTheme="minorEastAsia" w:hAnsiTheme="minorEastAsia" w:eastAsiaTheme="minorEastAsia"/>
          <w:sz w:val="24"/>
          <w:szCs w:val="24"/>
        </w:rPr>
        <w:t>5</w:t>
      </w:r>
      <w:r>
        <w:rPr>
          <w:rFonts w:asciiTheme="minorEastAsia" w:hAnsiTheme="minorEastAsia" w:eastAsiaTheme="minorEastAsia"/>
          <w:sz w:val="24"/>
          <w:szCs w:val="24"/>
        </w:rPr>
        <w:t>-10 年）业务需求及技术发展变化的需要。 同时，尽可能兼顾产品和技术的成熟性，增强网络的整体稳定性。</w:t>
      </w:r>
    </w:p>
    <w:p>
      <w:pPr>
        <w:keepLines/>
        <w:widowControl w:val="0"/>
        <w:adjustRightInd/>
        <w:snapToGrid/>
        <w:spacing w:after="0"/>
        <w:ind w:firstLine="360" w:firstLineChars="150"/>
        <w:jc w:val="both"/>
        <w:rPr>
          <w:rFonts w:asciiTheme="minorEastAsia" w:hAnsiTheme="minorEastAsia" w:eastAsiaTheme="minorEastAsia"/>
          <w:sz w:val="24"/>
          <w:szCs w:val="24"/>
        </w:rPr>
      </w:pPr>
      <w:r>
        <w:rPr>
          <w:rFonts w:asciiTheme="minorEastAsia" w:hAnsiTheme="minorEastAsia" w:eastAsiaTheme="minorEastAsia"/>
          <w:sz w:val="24"/>
          <w:szCs w:val="24"/>
        </w:rPr>
        <w:t>开放与可扩展性</w:t>
      </w:r>
    </w:p>
    <w:p>
      <w:pPr>
        <w:keepLines/>
        <w:widowControl w:val="0"/>
        <w:adjustRightInd/>
        <w:snapToGrid/>
        <w:spacing w:after="0"/>
        <w:ind w:firstLine="360" w:firstLineChars="150"/>
        <w:jc w:val="both"/>
        <w:rPr>
          <w:rFonts w:asciiTheme="minorEastAsia" w:hAnsiTheme="minorEastAsia" w:eastAsiaTheme="minorEastAsia"/>
          <w:sz w:val="24"/>
          <w:szCs w:val="24"/>
        </w:rPr>
      </w:pPr>
      <w:r>
        <w:rPr>
          <w:rFonts w:hint="eastAsia" w:asciiTheme="minorEastAsia" w:hAnsiTheme="minorEastAsia" w:eastAsiaTheme="minorEastAsia"/>
          <w:sz w:val="24"/>
          <w:szCs w:val="24"/>
        </w:rPr>
        <w:t>公寓有线</w:t>
      </w:r>
      <w:r>
        <w:rPr>
          <w:rFonts w:asciiTheme="minorEastAsia" w:hAnsiTheme="minorEastAsia" w:eastAsiaTheme="minorEastAsia"/>
          <w:sz w:val="24"/>
          <w:szCs w:val="24"/>
        </w:rPr>
        <w:t>网络的设计应选择开放式设计的产品或技术，满足系统间灵活的信息交互的需要。同时，充分考虑产品可扩展性，满足不断发展变化的业务和技术需求。</w:t>
      </w:r>
    </w:p>
    <w:p>
      <w:pPr>
        <w:keepLines/>
        <w:widowControl w:val="0"/>
        <w:adjustRightInd/>
        <w:snapToGrid/>
        <w:spacing w:after="0"/>
        <w:ind w:firstLine="360" w:firstLineChars="150"/>
        <w:jc w:val="both"/>
        <w:rPr>
          <w:rFonts w:asciiTheme="minorEastAsia" w:hAnsiTheme="minorEastAsia" w:eastAsiaTheme="minorEastAsia"/>
          <w:sz w:val="24"/>
          <w:szCs w:val="24"/>
        </w:rPr>
      </w:pPr>
      <w:r>
        <w:rPr>
          <w:rFonts w:asciiTheme="minorEastAsia" w:hAnsiTheme="minorEastAsia" w:eastAsiaTheme="minorEastAsia"/>
          <w:sz w:val="24"/>
          <w:szCs w:val="24"/>
        </w:rPr>
        <w:t>统一标准化</w:t>
      </w:r>
    </w:p>
    <w:p>
      <w:pPr>
        <w:keepLines/>
        <w:widowControl w:val="0"/>
        <w:adjustRightInd/>
        <w:snapToGrid/>
        <w:spacing w:after="0"/>
        <w:ind w:firstLine="360" w:firstLineChars="150"/>
        <w:jc w:val="both"/>
        <w:rPr>
          <w:rFonts w:asciiTheme="minorEastAsia" w:hAnsiTheme="minorEastAsia" w:eastAsiaTheme="minorEastAsia"/>
          <w:sz w:val="24"/>
          <w:szCs w:val="24"/>
        </w:rPr>
      </w:pPr>
      <w:r>
        <w:rPr>
          <w:rFonts w:hint="eastAsia" w:asciiTheme="minorEastAsia" w:hAnsiTheme="minorEastAsia" w:eastAsiaTheme="minorEastAsia"/>
          <w:sz w:val="24"/>
          <w:szCs w:val="24"/>
        </w:rPr>
        <w:t>公寓有线</w:t>
      </w:r>
      <w:r>
        <w:rPr>
          <w:rFonts w:asciiTheme="minorEastAsia" w:hAnsiTheme="minorEastAsia" w:eastAsiaTheme="minorEastAsia"/>
          <w:sz w:val="24"/>
          <w:szCs w:val="24"/>
        </w:rPr>
        <w:t>网络的设计应该坚持标准化的原则，采用业界公认的行业或技术标准，降低管理复杂度。同时，坚持统一化的原则（如：统一vlan划分，统一的ip address分配）应尽可能采用统一的标准。</w:t>
      </w:r>
    </w:p>
    <w:p>
      <w:pPr>
        <w:keepLines/>
        <w:widowControl w:val="0"/>
        <w:adjustRightInd/>
        <w:snapToGrid/>
        <w:spacing w:after="0"/>
        <w:ind w:firstLine="360" w:firstLineChars="150"/>
        <w:jc w:val="both"/>
        <w:rPr>
          <w:rFonts w:asciiTheme="minorEastAsia" w:hAnsiTheme="minorEastAsia" w:eastAsiaTheme="minorEastAsia"/>
          <w:sz w:val="24"/>
          <w:szCs w:val="24"/>
        </w:rPr>
      </w:pPr>
      <w:r>
        <w:rPr>
          <w:rFonts w:asciiTheme="minorEastAsia" w:hAnsiTheme="minorEastAsia" w:eastAsiaTheme="minorEastAsia"/>
          <w:sz w:val="24"/>
          <w:szCs w:val="24"/>
        </w:rPr>
        <w:t>经济性</w:t>
      </w:r>
    </w:p>
    <w:p>
      <w:pPr>
        <w:keepLines/>
        <w:widowControl w:val="0"/>
        <w:adjustRightInd/>
        <w:snapToGrid/>
        <w:spacing w:after="0"/>
        <w:ind w:firstLine="360" w:firstLineChars="150"/>
        <w:jc w:val="both"/>
        <w:rPr>
          <w:rFonts w:asciiTheme="minorEastAsia" w:hAnsiTheme="minorEastAsia" w:eastAsiaTheme="minorEastAsia"/>
          <w:sz w:val="24"/>
          <w:szCs w:val="24"/>
        </w:rPr>
      </w:pPr>
      <w:r>
        <w:rPr>
          <w:rFonts w:hint="eastAsia" w:asciiTheme="minorEastAsia" w:hAnsiTheme="minorEastAsia" w:eastAsiaTheme="minorEastAsia"/>
          <w:sz w:val="24"/>
          <w:szCs w:val="24"/>
        </w:rPr>
        <w:t>公寓有线</w:t>
      </w:r>
      <w:r>
        <w:rPr>
          <w:rFonts w:asciiTheme="minorEastAsia" w:hAnsiTheme="minorEastAsia" w:eastAsiaTheme="minorEastAsia"/>
          <w:sz w:val="24"/>
          <w:szCs w:val="24"/>
        </w:rPr>
        <w:t>网络的设计必须实用、经济，应该尽量利用现有资源，坚持在先进、高性能前提下合理投资，以期在成本最佳的前提下获得最大的经济效益和社会效益。</w:t>
      </w:r>
    </w:p>
    <w:bookmarkEnd w:id="13"/>
    <w:p>
      <w:pPr>
        <w:keepLines/>
        <w:widowControl w:val="0"/>
        <w:adjustRightInd/>
        <w:snapToGrid/>
        <w:spacing w:after="0"/>
        <w:ind w:firstLine="360" w:firstLineChars="150"/>
        <w:jc w:val="both"/>
        <w:rPr>
          <w:rFonts w:hint="eastAsia" w:asciiTheme="minorEastAsia" w:hAnsiTheme="minorEastAsia" w:eastAsiaTheme="minorEastAsia"/>
          <w:sz w:val="24"/>
          <w:szCs w:val="24"/>
          <w:lang w:val="sq-AL" w:eastAsia="zh-CN"/>
        </w:rPr>
      </w:pPr>
      <w:bookmarkStart w:id="14" w:name="_Toc107408681"/>
      <w:bookmarkStart w:id="15" w:name="_Toc511661033"/>
      <w:r>
        <w:rPr>
          <w:rFonts w:hint="eastAsia" w:asciiTheme="minorEastAsia" w:hAnsiTheme="minorEastAsia" w:eastAsiaTheme="minorEastAsia"/>
          <w:sz w:val="24"/>
          <w:szCs w:val="24"/>
          <w:lang w:val="sq-AL" w:eastAsia="zh-CN"/>
        </w:rPr>
        <w:t>2、关键技术指标</w:t>
      </w:r>
      <w:bookmarkEnd w:id="14"/>
    </w:p>
    <w:p>
      <w:pPr>
        <w:keepLines/>
        <w:widowControl w:val="0"/>
        <w:adjustRightInd/>
        <w:snapToGrid/>
        <w:spacing w:after="0"/>
        <w:ind w:firstLine="360" w:firstLineChars="150"/>
        <w:jc w:val="both"/>
        <w:rPr>
          <w:rFonts w:hint="eastAsia" w:asciiTheme="minorEastAsia" w:hAnsiTheme="minorEastAsia" w:eastAsiaTheme="minorEastAsia"/>
          <w:sz w:val="24"/>
          <w:szCs w:val="24"/>
          <w:lang w:val="sq-AL" w:eastAsia="zh-CN"/>
        </w:rPr>
      </w:pPr>
      <w:r>
        <w:rPr>
          <w:rFonts w:hint="eastAsia" w:asciiTheme="minorEastAsia" w:hAnsiTheme="minorEastAsia" w:eastAsiaTheme="minorEastAsia"/>
          <w:sz w:val="24"/>
          <w:szCs w:val="24"/>
          <w:lang w:val="sq-AL" w:eastAsia="zh-CN"/>
        </w:rPr>
        <w:t>采购清单：</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1440"/>
        <w:gridCol w:w="1755"/>
        <w:gridCol w:w="1797"/>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0" w:type="dxa"/>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序号</w:t>
            </w:r>
          </w:p>
        </w:tc>
        <w:tc>
          <w:tcPr>
            <w:tcW w:w="1440" w:type="dxa"/>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设备名称</w:t>
            </w:r>
          </w:p>
        </w:tc>
        <w:tc>
          <w:tcPr>
            <w:tcW w:w="1755" w:type="dxa"/>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采购数量（套）</w:t>
            </w:r>
          </w:p>
        </w:tc>
        <w:tc>
          <w:tcPr>
            <w:tcW w:w="1797" w:type="dxa"/>
            <w:vAlign w:val="center"/>
          </w:tcPr>
          <w:p>
            <w:pPr>
              <w:keepLines/>
              <w:widowControl w:val="0"/>
              <w:adjustRightInd/>
              <w:snapToGrid/>
              <w:spacing w:after="0"/>
              <w:ind w:firstLine="360" w:firstLineChars="150"/>
              <w:jc w:val="both"/>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最高投标单价限价（元）</w:t>
            </w:r>
          </w:p>
        </w:tc>
        <w:tc>
          <w:tcPr>
            <w:tcW w:w="1797" w:type="dxa"/>
            <w:vAlign w:val="center"/>
          </w:tcPr>
          <w:p>
            <w:pPr>
              <w:keepLines/>
              <w:widowControl w:val="0"/>
              <w:adjustRightInd/>
              <w:snapToGrid/>
              <w:spacing w:after="0"/>
              <w:ind w:firstLine="360" w:firstLineChars="150"/>
              <w:jc w:val="both"/>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0" w:type="dxa"/>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w:t>
            </w:r>
          </w:p>
        </w:tc>
        <w:tc>
          <w:tcPr>
            <w:tcW w:w="1440" w:type="dxa"/>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汇聚交换机</w:t>
            </w:r>
          </w:p>
        </w:tc>
        <w:tc>
          <w:tcPr>
            <w:tcW w:w="1755" w:type="dxa"/>
            <w:vAlign w:val="center"/>
          </w:tcPr>
          <w:p>
            <w:pPr>
              <w:keepLines/>
              <w:widowControl w:val="0"/>
              <w:adjustRightInd/>
              <w:snapToGrid/>
              <w:spacing w:after="0"/>
              <w:ind w:firstLine="360" w:firstLineChars="150"/>
              <w:jc w:val="both"/>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13</w:t>
            </w:r>
          </w:p>
        </w:tc>
        <w:tc>
          <w:tcPr>
            <w:tcW w:w="1797" w:type="dxa"/>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35000</w:t>
            </w:r>
          </w:p>
        </w:tc>
        <w:tc>
          <w:tcPr>
            <w:tcW w:w="1797" w:type="dxa"/>
            <w:vAlign w:val="center"/>
          </w:tcPr>
          <w:p>
            <w:pPr>
              <w:keepLines/>
              <w:widowControl w:val="0"/>
              <w:adjustRightInd/>
              <w:snapToGrid/>
              <w:spacing w:after="0"/>
              <w:ind w:firstLine="360" w:firstLineChars="150"/>
              <w:jc w:val="both"/>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455000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0" w:type="dxa"/>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2</w:t>
            </w:r>
          </w:p>
        </w:tc>
        <w:tc>
          <w:tcPr>
            <w:tcW w:w="1440" w:type="dxa"/>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接入交换机</w:t>
            </w:r>
          </w:p>
        </w:tc>
        <w:tc>
          <w:tcPr>
            <w:tcW w:w="1755" w:type="dxa"/>
            <w:vAlign w:val="center"/>
          </w:tcPr>
          <w:p>
            <w:pPr>
              <w:keepLines/>
              <w:widowControl w:val="0"/>
              <w:adjustRightInd/>
              <w:snapToGrid/>
              <w:spacing w:after="0"/>
              <w:ind w:firstLine="360" w:firstLineChars="150"/>
              <w:jc w:val="both"/>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70</w:t>
            </w:r>
          </w:p>
        </w:tc>
        <w:tc>
          <w:tcPr>
            <w:tcW w:w="1797" w:type="dxa"/>
            <w:vAlign w:val="center"/>
          </w:tcPr>
          <w:p>
            <w:pPr>
              <w:keepLines/>
              <w:widowControl w:val="0"/>
              <w:adjustRightInd/>
              <w:snapToGrid/>
              <w:spacing w:after="0"/>
              <w:ind w:firstLine="360" w:firstLineChars="150"/>
              <w:jc w:val="both"/>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6500</w:t>
            </w:r>
          </w:p>
        </w:tc>
        <w:tc>
          <w:tcPr>
            <w:tcW w:w="1797" w:type="dxa"/>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455000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140" w:type="dxa"/>
            <w:gridSpan w:val="2"/>
            <w:vAlign w:val="center"/>
          </w:tcPr>
          <w:p>
            <w:pPr>
              <w:keepLines/>
              <w:widowControl w:val="0"/>
              <w:adjustRightInd/>
              <w:snapToGrid/>
              <w:spacing w:after="0"/>
              <w:ind w:firstLine="360" w:firstLineChars="150"/>
              <w:jc w:val="both"/>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总计</w:t>
            </w:r>
          </w:p>
        </w:tc>
        <w:tc>
          <w:tcPr>
            <w:tcW w:w="5349" w:type="dxa"/>
            <w:gridSpan w:val="3"/>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910000</w:t>
            </w:r>
          </w:p>
        </w:tc>
      </w:tr>
    </w:tbl>
    <w:p>
      <w:pPr>
        <w:keepLines/>
        <w:widowControl w:val="0"/>
        <w:adjustRightInd/>
        <w:snapToGrid/>
        <w:spacing w:after="0"/>
        <w:ind w:firstLine="360" w:firstLineChars="150"/>
        <w:jc w:val="both"/>
        <w:rPr>
          <w:rFonts w:hint="eastAsia" w:asciiTheme="minorEastAsia" w:hAnsiTheme="minorEastAsia" w:eastAsiaTheme="minorEastAsia"/>
          <w:sz w:val="24"/>
          <w:szCs w:val="24"/>
          <w:lang w:val="sq-AL" w:eastAsia="zh-CN"/>
        </w:rPr>
      </w:pPr>
      <w:r>
        <w:rPr>
          <w:rFonts w:hint="eastAsia" w:asciiTheme="minorEastAsia" w:hAnsiTheme="minorEastAsia" w:eastAsiaTheme="minorEastAsia"/>
          <w:sz w:val="24"/>
          <w:szCs w:val="24"/>
          <w:lang w:val="sq-AL" w:eastAsia="zh-CN"/>
        </w:rPr>
        <w:t>汇聚交换机：数量13套</w:t>
      </w:r>
    </w:p>
    <w:tbl>
      <w:tblPr>
        <w:tblStyle w:val="10"/>
        <w:tblW w:w="8364" w:type="dxa"/>
        <w:tblInd w:w="0" w:type="dxa"/>
        <w:tblLayout w:type="fixed"/>
        <w:tblCellMar>
          <w:top w:w="0" w:type="dxa"/>
          <w:left w:w="108" w:type="dxa"/>
          <w:bottom w:w="0" w:type="dxa"/>
          <w:right w:w="108" w:type="dxa"/>
        </w:tblCellMar>
      </w:tblPr>
      <w:tblGrid>
        <w:gridCol w:w="2127"/>
        <w:gridCol w:w="6237"/>
      </w:tblGrid>
      <w:tr>
        <w:tblPrEx>
          <w:tblCellMar>
            <w:top w:w="0" w:type="dxa"/>
            <w:left w:w="108" w:type="dxa"/>
            <w:bottom w:w="0" w:type="dxa"/>
            <w:right w:w="108" w:type="dxa"/>
          </w:tblCellMar>
        </w:tblPrEx>
        <w:trPr>
          <w:trHeight w:val="420" w:hRule="atLeast"/>
          <w:tblHeader/>
        </w:trPr>
        <w:tc>
          <w:tcPr>
            <w:tcW w:w="2127" w:type="dxa"/>
            <w:tcBorders>
              <w:top w:val="single" w:color="auto" w:sz="4" w:space="0"/>
              <w:left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功能及技术指标</w:t>
            </w:r>
          </w:p>
        </w:tc>
        <w:tc>
          <w:tcPr>
            <w:tcW w:w="6237" w:type="dxa"/>
            <w:tcBorders>
              <w:top w:val="single" w:color="auto" w:sz="4" w:space="0"/>
              <w:left w:val="nil"/>
              <w:bottom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参数要求</w:t>
            </w:r>
          </w:p>
        </w:tc>
      </w:tr>
      <w:tr>
        <w:tblPrEx>
          <w:tblCellMar>
            <w:top w:w="0" w:type="dxa"/>
            <w:left w:w="108" w:type="dxa"/>
            <w:bottom w:w="0" w:type="dxa"/>
            <w:right w:w="108" w:type="dxa"/>
          </w:tblCellMar>
        </w:tblPrEx>
        <w:trPr>
          <w:trHeight w:val="285" w:hRule="atLeast"/>
          <w:tblHeader/>
        </w:trPr>
        <w:tc>
          <w:tcPr>
            <w:tcW w:w="2127" w:type="dxa"/>
            <w:vMerge w:val="restart"/>
            <w:tcBorders>
              <w:top w:val="single" w:color="auto" w:sz="4" w:space="0"/>
              <w:left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性能要求</w:t>
            </w:r>
          </w:p>
        </w:tc>
        <w:tc>
          <w:tcPr>
            <w:tcW w:w="6237" w:type="dxa"/>
            <w:tcBorders>
              <w:top w:val="single" w:color="auto" w:sz="4" w:space="0"/>
              <w:left w:val="nil"/>
              <w:bottom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★交换容量≥25.6Tbps</w:t>
            </w:r>
          </w:p>
        </w:tc>
      </w:tr>
      <w:tr>
        <w:tblPrEx>
          <w:tblCellMar>
            <w:top w:w="0" w:type="dxa"/>
            <w:left w:w="108" w:type="dxa"/>
            <w:bottom w:w="0" w:type="dxa"/>
            <w:right w:w="108" w:type="dxa"/>
          </w:tblCellMar>
        </w:tblPrEx>
        <w:trPr>
          <w:trHeight w:val="285" w:hRule="atLeast"/>
          <w:tblHeader/>
        </w:trPr>
        <w:tc>
          <w:tcPr>
            <w:tcW w:w="2127" w:type="dxa"/>
            <w:vMerge w:val="continue"/>
            <w:tcBorders>
              <w:left w:val="single" w:color="auto" w:sz="4" w:space="0"/>
              <w:bottom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6237" w:type="dxa"/>
            <w:tcBorders>
              <w:top w:val="single" w:color="auto" w:sz="4" w:space="0"/>
              <w:left w:val="nil"/>
              <w:bottom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★包转发率≥1080Mpps</w:t>
            </w:r>
          </w:p>
        </w:tc>
      </w:tr>
      <w:tr>
        <w:tblPrEx>
          <w:tblCellMar>
            <w:top w:w="0" w:type="dxa"/>
            <w:left w:w="108" w:type="dxa"/>
            <w:bottom w:w="0" w:type="dxa"/>
            <w:right w:w="108" w:type="dxa"/>
          </w:tblCellMar>
        </w:tblPrEx>
        <w:trPr>
          <w:trHeight w:val="285" w:hRule="atLeast"/>
          <w:tblHeader/>
        </w:trPr>
        <w:tc>
          <w:tcPr>
            <w:tcW w:w="2127" w:type="dxa"/>
            <w:tcBorders>
              <w:top w:val="single" w:color="auto" w:sz="4" w:space="0"/>
              <w:left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接口要求</w:t>
            </w:r>
          </w:p>
        </w:tc>
        <w:tc>
          <w:tcPr>
            <w:tcW w:w="6237" w:type="dxa"/>
            <w:tcBorders>
              <w:top w:val="single" w:color="auto" w:sz="4" w:space="0"/>
              <w:left w:val="nil"/>
              <w:bottom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★实配千兆SFP/万兆SFP+端口≥</w:t>
            </w:r>
            <w:r>
              <w:rPr>
                <w:rFonts w:hint="eastAsia" w:asciiTheme="minorEastAsia" w:hAnsiTheme="minorEastAsia" w:eastAsiaTheme="minorEastAsia"/>
                <w:sz w:val="24"/>
                <w:szCs w:val="24"/>
                <w:lang w:val="en-US" w:eastAsia="zh-CN"/>
              </w:rPr>
              <w:t>48</w:t>
            </w:r>
            <w:r>
              <w:rPr>
                <w:rFonts w:hint="eastAsia" w:asciiTheme="minorEastAsia" w:hAnsiTheme="minorEastAsia" w:eastAsiaTheme="minorEastAsia"/>
                <w:sz w:val="24"/>
                <w:szCs w:val="24"/>
              </w:rPr>
              <w:t>个，40GE QSPF+端口≥4个，带外管理接口≥1，</w:t>
            </w:r>
          </w:p>
        </w:tc>
      </w:tr>
      <w:tr>
        <w:tblPrEx>
          <w:tblCellMar>
            <w:top w:w="0" w:type="dxa"/>
            <w:left w:w="108" w:type="dxa"/>
            <w:bottom w:w="0" w:type="dxa"/>
            <w:right w:w="108" w:type="dxa"/>
          </w:tblCellMar>
        </w:tblPrEx>
        <w:trPr>
          <w:trHeight w:val="285" w:hRule="atLeast"/>
          <w:tblHeader/>
        </w:trPr>
        <w:tc>
          <w:tcPr>
            <w:tcW w:w="2127" w:type="dxa"/>
            <w:tcBorders>
              <w:top w:val="single" w:color="auto" w:sz="4" w:space="0"/>
              <w:left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堆叠</w:t>
            </w:r>
          </w:p>
        </w:tc>
        <w:tc>
          <w:tcPr>
            <w:tcW w:w="6237" w:type="dxa"/>
            <w:tcBorders>
              <w:top w:val="single" w:color="auto" w:sz="4" w:space="0"/>
              <w:left w:val="nil"/>
              <w:bottom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★支持不少于3台设备堆叠</w:t>
            </w:r>
          </w:p>
        </w:tc>
      </w:tr>
      <w:tr>
        <w:tblPrEx>
          <w:tblCellMar>
            <w:top w:w="0" w:type="dxa"/>
            <w:left w:w="108" w:type="dxa"/>
            <w:bottom w:w="0" w:type="dxa"/>
            <w:right w:w="108" w:type="dxa"/>
          </w:tblCellMar>
        </w:tblPrEx>
        <w:trPr>
          <w:trHeight w:val="285" w:hRule="atLeast"/>
          <w:tblHeader/>
        </w:trPr>
        <w:tc>
          <w:tcPr>
            <w:tcW w:w="2127" w:type="dxa"/>
            <w:tcBorders>
              <w:top w:val="single" w:color="auto" w:sz="4" w:space="0"/>
              <w:left w:val="single" w:color="auto" w:sz="4" w:space="0"/>
              <w:bottom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电源要求</w:t>
            </w:r>
          </w:p>
        </w:tc>
        <w:tc>
          <w:tcPr>
            <w:tcW w:w="6237" w:type="dxa"/>
            <w:tcBorders>
              <w:top w:val="single" w:color="auto" w:sz="4" w:space="0"/>
              <w:left w:val="nil"/>
              <w:bottom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★冗余电源（1+1）</w:t>
            </w:r>
          </w:p>
        </w:tc>
      </w:tr>
      <w:tr>
        <w:tblPrEx>
          <w:tblCellMar>
            <w:top w:w="0" w:type="dxa"/>
            <w:left w:w="108" w:type="dxa"/>
            <w:bottom w:w="0" w:type="dxa"/>
            <w:right w:w="108" w:type="dxa"/>
          </w:tblCellMar>
        </w:tblPrEx>
        <w:trPr>
          <w:trHeight w:val="285" w:hRule="atLeast"/>
          <w:tblHeader/>
        </w:trPr>
        <w:tc>
          <w:tcPr>
            <w:tcW w:w="2127" w:type="dxa"/>
            <w:tcBorders>
              <w:top w:val="single" w:color="auto" w:sz="4" w:space="0"/>
              <w:left w:val="single" w:color="auto" w:sz="4" w:space="0"/>
              <w:bottom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风扇</w:t>
            </w:r>
          </w:p>
        </w:tc>
        <w:tc>
          <w:tcPr>
            <w:tcW w:w="6237" w:type="dxa"/>
            <w:tcBorders>
              <w:top w:val="single" w:color="auto" w:sz="4" w:space="0"/>
              <w:left w:val="nil"/>
              <w:bottom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★冗余风扇（3+1）</w:t>
            </w:r>
          </w:p>
        </w:tc>
      </w:tr>
      <w:tr>
        <w:tblPrEx>
          <w:tblCellMar>
            <w:top w:w="0" w:type="dxa"/>
            <w:left w:w="108" w:type="dxa"/>
            <w:bottom w:w="0" w:type="dxa"/>
            <w:right w:w="108" w:type="dxa"/>
          </w:tblCellMar>
        </w:tblPrEx>
        <w:trPr>
          <w:trHeight w:val="285" w:hRule="atLeast"/>
          <w:tblHeader/>
        </w:trPr>
        <w:tc>
          <w:tcPr>
            <w:tcW w:w="2127" w:type="dxa"/>
            <w:tcBorders>
              <w:top w:val="single" w:color="auto" w:sz="4" w:space="0"/>
              <w:left w:val="single" w:color="auto" w:sz="4" w:space="0"/>
              <w:bottom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线缆</w:t>
            </w:r>
          </w:p>
        </w:tc>
        <w:tc>
          <w:tcPr>
            <w:tcW w:w="6237" w:type="dxa"/>
            <w:tcBorders>
              <w:top w:val="single" w:color="auto" w:sz="4" w:space="0"/>
              <w:left w:val="nil"/>
              <w:bottom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40G直连铜缆1M ≥1条</w:t>
            </w:r>
          </w:p>
        </w:tc>
      </w:tr>
      <w:tr>
        <w:tblPrEx>
          <w:tblCellMar>
            <w:top w:w="0" w:type="dxa"/>
            <w:left w:w="108" w:type="dxa"/>
            <w:bottom w:w="0" w:type="dxa"/>
            <w:right w:w="108" w:type="dxa"/>
          </w:tblCellMar>
        </w:tblPrEx>
        <w:trPr>
          <w:trHeight w:val="285" w:hRule="atLeast"/>
          <w:tblHeader/>
        </w:trPr>
        <w:tc>
          <w:tcPr>
            <w:tcW w:w="2127" w:type="dxa"/>
            <w:tcBorders>
              <w:top w:val="single" w:color="auto" w:sz="4" w:space="0"/>
              <w:left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DHCP要求</w:t>
            </w:r>
          </w:p>
        </w:tc>
        <w:tc>
          <w:tcPr>
            <w:tcW w:w="6237" w:type="dxa"/>
            <w:tcBorders>
              <w:top w:val="single" w:color="auto" w:sz="4" w:space="0"/>
              <w:left w:val="nil"/>
              <w:bottom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支持DHCP SERVER，DHCP SNOOPING，DHCP RELAY</w:t>
            </w:r>
          </w:p>
        </w:tc>
      </w:tr>
      <w:tr>
        <w:tblPrEx>
          <w:tblCellMar>
            <w:top w:w="0" w:type="dxa"/>
            <w:left w:w="108" w:type="dxa"/>
            <w:bottom w:w="0" w:type="dxa"/>
            <w:right w:w="108" w:type="dxa"/>
          </w:tblCellMar>
        </w:tblPrEx>
        <w:trPr>
          <w:trHeight w:val="285" w:hRule="atLeast"/>
          <w:tblHeader/>
        </w:trPr>
        <w:tc>
          <w:tcPr>
            <w:tcW w:w="2127" w:type="dxa"/>
            <w:tcBorders>
              <w:top w:val="single" w:color="auto" w:sz="4" w:space="0"/>
              <w:left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QinQ要求</w:t>
            </w:r>
          </w:p>
        </w:tc>
        <w:tc>
          <w:tcPr>
            <w:tcW w:w="6237" w:type="dxa"/>
            <w:tcBorders>
              <w:top w:val="single" w:color="auto" w:sz="4" w:space="0"/>
              <w:left w:val="nil"/>
              <w:bottom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支持QinQ</w:t>
            </w:r>
          </w:p>
        </w:tc>
      </w:tr>
      <w:tr>
        <w:tblPrEx>
          <w:tblCellMar>
            <w:top w:w="0" w:type="dxa"/>
            <w:left w:w="108" w:type="dxa"/>
            <w:bottom w:w="0" w:type="dxa"/>
            <w:right w:w="108" w:type="dxa"/>
          </w:tblCellMar>
        </w:tblPrEx>
        <w:trPr>
          <w:trHeight w:val="285" w:hRule="atLeast"/>
          <w:tblHeader/>
        </w:trPr>
        <w:tc>
          <w:tcPr>
            <w:tcW w:w="2127" w:type="dxa"/>
            <w:tcBorders>
              <w:top w:val="single" w:color="auto" w:sz="4" w:space="0"/>
              <w:left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ACL要求</w:t>
            </w:r>
          </w:p>
        </w:tc>
        <w:tc>
          <w:tcPr>
            <w:tcW w:w="6237" w:type="dxa"/>
            <w:tcBorders>
              <w:top w:val="single" w:color="auto" w:sz="4" w:space="0"/>
              <w:left w:val="nil"/>
              <w:bottom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支持访问控制ACL</w:t>
            </w:r>
          </w:p>
        </w:tc>
      </w:tr>
      <w:tr>
        <w:tblPrEx>
          <w:tblCellMar>
            <w:top w:w="0" w:type="dxa"/>
            <w:left w:w="108" w:type="dxa"/>
            <w:bottom w:w="0" w:type="dxa"/>
            <w:right w:w="108" w:type="dxa"/>
          </w:tblCellMar>
        </w:tblPrEx>
        <w:trPr>
          <w:trHeight w:val="285" w:hRule="atLeast"/>
          <w:tblHeader/>
        </w:trPr>
        <w:tc>
          <w:tcPr>
            <w:tcW w:w="2127" w:type="dxa"/>
            <w:tcBorders>
              <w:top w:val="single" w:color="auto" w:sz="4" w:space="0"/>
              <w:left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ARP要求</w:t>
            </w:r>
          </w:p>
        </w:tc>
        <w:tc>
          <w:tcPr>
            <w:tcW w:w="6237" w:type="dxa"/>
            <w:tcBorders>
              <w:top w:val="single" w:color="auto" w:sz="4" w:space="0"/>
              <w:left w:val="nil"/>
              <w:bottom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▲支持ARP网络协议，ARP中毒检测功能</w:t>
            </w:r>
          </w:p>
        </w:tc>
      </w:tr>
      <w:tr>
        <w:tblPrEx>
          <w:tblCellMar>
            <w:top w:w="0" w:type="dxa"/>
            <w:left w:w="108" w:type="dxa"/>
            <w:bottom w:w="0" w:type="dxa"/>
            <w:right w:w="108" w:type="dxa"/>
          </w:tblCellMar>
        </w:tblPrEx>
        <w:trPr>
          <w:trHeight w:val="285" w:hRule="atLeast"/>
          <w:tblHeader/>
        </w:trPr>
        <w:tc>
          <w:tcPr>
            <w:tcW w:w="2127" w:type="dxa"/>
            <w:vMerge w:val="restart"/>
            <w:tcBorders>
              <w:top w:val="single" w:color="auto" w:sz="4" w:space="0"/>
              <w:left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路由要求</w:t>
            </w:r>
          </w:p>
        </w:tc>
        <w:tc>
          <w:tcPr>
            <w:tcW w:w="6237" w:type="dxa"/>
            <w:tcBorders>
              <w:top w:val="single" w:color="auto" w:sz="4" w:space="0"/>
              <w:left w:val="nil"/>
              <w:bottom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支持静态路由协议，RIP路由协议</w:t>
            </w:r>
          </w:p>
        </w:tc>
      </w:tr>
      <w:tr>
        <w:tblPrEx>
          <w:tblCellMar>
            <w:top w:w="0" w:type="dxa"/>
            <w:left w:w="108" w:type="dxa"/>
            <w:bottom w:w="0" w:type="dxa"/>
            <w:right w:w="108" w:type="dxa"/>
          </w:tblCellMar>
        </w:tblPrEx>
        <w:trPr>
          <w:trHeight w:val="285" w:hRule="atLeast"/>
          <w:tblHeader/>
        </w:trPr>
        <w:tc>
          <w:tcPr>
            <w:tcW w:w="2127" w:type="dxa"/>
            <w:vMerge w:val="continue"/>
            <w:tcBorders>
              <w:left w:val="single" w:color="auto" w:sz="4" w:space="0"/>
              <w:bottom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6237" w:type="dxa"/>
            <w:tcBorders>
              <w:top w:val="single" w:color="auto" w:sz="4" w:space="0"/>
              <w:left w:val="nil"/>
              <w:bottom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支持OSPF路由协议，BGP路由协议，ISIS路由协议，VRRP冗余网关协议</w:t>
            </w:r>
          </w:p>
        </w:tc>
      </w:tr>
      <w:tr>
        <w:tblPrEx>
          <w:tblCellMar>
            <w:top w:w="0" w:type="dxa"/>
            <w:left w:w="108" w:type="dxa"/>
            <w:bottom w:w="0" w:type="dxa"/>
            <w:right w:w="108" w:type="dxa"/>
          </w:tblCellMar>
        </w:tblPrEx>
        <w:trPr>
          <w:trHeight w:val="285" w:hRule="atLeast"/>
          <w:tblHeader/>
        </w:trPr>
        <w:tc>
          <w:tcPr>
            <w:tcW w:w="2127" w:type="dxa"/>
            <w:vMerge w:val="restart"/>
            <w:tcBorders>
              <w:top w:val="single" w:color="auto" w:sz="4" w:space="0"/>
              <w:left w:val="single" w:color="auto" w:sz="4" w:space="0"/>
              <w:bottom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功能要求</w:t>
            </w:r>
          </w:p>
        </w:tc>
        <w:tc>
          <w:tcPr>
            <w:tcW w:w="6237" w:type="dxa"/>
            <w:tcBorders>
              <w:top w:val="single" w:color="auto" w:sz="4" w:space="0"/>
              <w:left w:val="nil"/>
              <w:bottom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支持端口镜像功能</w:t>
            </w:r>
          </w:p>
        </w:tc>
      </w:tr>
      <w:tr>
        <w:tblPrEx>
          <w:tblCellMar>
            <w:top w:w="0" w:type="dxa"/>
            <w:left w:w="108" w:type="dxa"/>
            <w:bottom w:w="0" w:type="dxa"/>
            <w:right w:w="108" w:type="dxa"/>
          </w:tblCellMar>
        </w:tblPrEx>
        <w:trPr>
          <w:trHeight w:val="285" w:hRule="atLeast"/>
          <w:tblHeader/>
        </w:trPr>
        <w:tc>
          <w:tcPr>
            <w:tcW w:w="2127" w:type="dxa"/>
            <w:vMerge w:val="continue"/>
            <w:tcBorders>
              <w:top w:val="single" w:color="auto" w:sz="4" w:space="0"/>
              <w:left w:val="single" w:color="auto" w:sz="4" w:space="0"/>
              <w:bottom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6237" w:type="dxa"/>
            <w:tcBorders>
              <w:top w:val="single" w:color="auto" w:sz="4" w:space="0"/>
              <w:left w:val="nil"/>
              <w:bottom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支持syslog、SNMP:v1,v2,v3，网络管理方式</w:t>
            </w:r>
          </w:p>
        </w:tc>
      </w:tr>
      <w:tr>
        <w:tblPrEx>
          <w:tblCellMar>
            <w:top w:w="0" w:type="dxa"/>
            <w:left w:w="108" w:type="dxa"/>
            <w:bottom w:w="0" w:type="dxa"/>
            <w:right w:w="108" w:type="dxa"/>
          </w:tblCellMar>
        </w:tblPrEx>
        <w:trPr>
          <w:trHeight w:val="285" w:hRule="atLeast"/>
          <w:tblHeader/>
        </w:trPr>
        <w:tc>
          <w:tcPr>
            <w:tcW w:w="2127" w:type="dxa"/>
            <w:vMerge w:val="continue"/>
            <w:tcBorders>
              <w:top w:val="single" w:color="auto" w:sz="4" w:space="0"/>
              <w:left w:val="single" w:color="auto" w:sz="4" w:space="0"/>
              <w:bottom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6237" w:type="dxa"/>
            <w:tcBorders>
              <w:top w:val="single" w:color="auto" w:sz="4" w:space="0"/>
              <w:left w:val="nil"/>
              <w:bottom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支持基于MAC的身份验证</w:t>
            </w:r>
          </w:p>
        </w:tc>
      </w:tr>
      <w:tr>
        <w:tblPrEx>
          <w:tblCellMar>
            <w:top w:w="0" w:type="dxa"/>
            <w:left w:w="108" w:type="dxa"/>
            <w:bottom w:w="0" w:type="dxa"/>
            <w:right w:w="108" w:type="dxa"/>
          </w:tblCellMar>
        </w:tblPrEx>
        <w:trPr>
          <w:trHeight w:val="285" w:hRule="atLeast"/>
          <w:tblHeader/>
        </w:trPr>
        <w:tc>
          <w:tcPr>
            <w:tcW w:w="2127" w:type="dxa"/>
            <w:vMerge w:val="continue"/>
            <w:tcBorders>
              <w:top w:val="single" w:color="auto" w:sz="4" w:space="0"/>
              <w:left w:val="single" w:color="auto" w:sz="4" w:space="0"/>
              <w:bottom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6237" w:type="dxa"/>
            <w:tcBorders>
              <w:top w:val="single" w:color="auto" w:sz="4" w:space="0"/>
              <w:left w:val="nil"/>
              <w:bottom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支持链路层发现协议IEEE802.1ab LLDP</w:t>
            </w:r>
          </w:p>
        </w:tc>
      </w:tr>
      <w:tr>
        <w:tblPrEx>
          <w:tblCellMar>
            <w:top w:w="0" w:type="dxa"/>
            <w:left w:w="108" w:type="dxa"/>
            <w:bottom w:w="0" w:type="dxa"/>
            <w:right w:w="108" w:type="dxa"/>
          </w:tblCellMar>
        </w:tblPrEx>
        <w:trPr>
          <w:trHeight w:val="285" w:hRule="atLeast"/>
          <w:tblHeader/>
        </w:trPr>
        <w:tc>
          <w:tcPr>
            <w:tcW w:w="2127" w:type="dxa"/>
            <w:vMerge w:val="continue"/>
            <w:tcBorders>
              <w:top w:val="single" w:color="auto" w:sz="4" w:space="0"/>
              <w:left w:val="single" w:color="auto" w:sz="4" w:space="0"/>
              <w:bottom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6237" w:type="dxa"/>
            <w:tcBorders>
              <w:top w:val="single" w:color="auto" w:sz="4" w:space="0"/>
              <w:left w:val="nil"/>
              <w:bottom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支持IGMP组播路由协议</w:t>
            </w:r>
          </w:p>
        </w:tc>
      </w:tr>
      <w:tr>
        <w:tblPrEx>
          <w:tblCellMar>
            <w:top w:w="0" w:type="dxa"/>
            <w:left w:w="108" w:type="dxa"/>
            <w:bottom w:w="0" w:type="dxa"/>
            <w:right w:w="108" w:type="dxa"/>
          </w:tblCellMar>
        </w:tblPrEx>
        <w:trPr>
          <w:trHeight w:val="285" w:hRule="atLeast"/>
          <w:tblHeader/>
        </w:trPr>
        <w:tc>
          <w:tcPr>
            <w:tcW w:w="2127" w:type="dxa"/>
            <w:vMerge w:val="continue"/>
            <w:tcBorders>
              <w:top w:val="single" w:color="auto" w:sz="4" w:space="0"/>
              <w:left w:val="single" w:color="auto" w:sz="4" w:space="0"/>
              <w:bottom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6237" w:type="dxa"/>
            <w:tcBorders>
              <w:top w:val="single" w:color="auto" w:sz="4" w:space="0"/>
              <w:left w:val="nil"/>
              <w:bottom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支持Bidirectional Forwarding Detection（BFD）</w:t>
            </w:r>
          </w:p>
        </w:tc>
      </w:tr>
      <w:tr>
        <w:tblPrEx>
          <w:tblCellMar>
            <w:top w:w="0" w:type="dxa"/>
            <w:left w:w="108" w:type="dxa"/>
            <w:bottom w:w="0" w:type="dxa"/>
            <w:right w:w="108" w:type="dxa"/>
          </w:tblCellMar>
        </w:tblPrEx>
        <w:trPr>
          <w:trHeight w:val="285" w:hRule="atLeast"/>
          <w:tblHeader/>
        </w:trPr>
        <w:tc>
          <w:tcPr>
            <w:tcW w:w="2127" w:type="dxa"/>
            <w:vMerge w:val="continue"/>
            <w:tcBorders>
              <w:top w:val="single" w:color="auto" w:sz="4" w:space="0"/>
              <w:left w:val="single" w:color="auto" w:sz="4" w:space="0"/>
              <w:bottom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6237" w:type="dxa"/>
            <w:tcBorders>
              <w:top w:val="single" w:color="auto" w:sz="4" w:space="0"/>
              <w:left w:val="nil"/>
              <w:bottom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支持流量控制</w:t>
            </w:r>
          </w:p>
        </w:tc>
      </w:tr>
      <w:tr>
        <w:tblPrEx>
          <w:tblCellMar>
            <w:top w:w="0" w:type="dxa"/>
            <w:left w:w="108" w:type="dxa"/>
            <w:bottom w:w="0" w:type="dxa"/>
            <w:right w:w="108" w:type="dxa"/>
          </w:tblCellMar>
        </w:tblPrEx>
        <w:trPr>
          <w:trHeight w:val="285" w:hRule="atLeast"/>
          <w:tblHeader/>
        </w:trPr>
        <w:tc>
          <w:tcPr>
            <w:tcW w:w="2127" w:type="dxa"/>
            <w:vMerge w:val="continue"/>
            <w:tcBorders>
              <w:top w:val="single" w:color="auto" w:sz="4" w:space="0"/>
              <w:left w:val="single" w:color="auto" w:sz="4" w:space="0"/>
              <w:bottom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6237" w:type="dxa"/>
            <w:tcBorders>
              <w:top w:val="single" w:color="auto" w:sz="4" w:space="0"/>
              <w:left w:val="nil"/>
              <w:bottom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▲支持带宽管理：基于流的带宽管理，出口流量整形</w:t>
            </w:r>
          </w:p>
        </w:tc>
      </w:tr>
      <w:tr>
        <w:tblPrEx>
          <w:tblCellMar>
            <w:top w:w="0" w:type="dxa"/>
            <w:left w:w="108" w:type="dxa"/>
            <w:bottom w:w="0" w:type="dxa"/>
            <w:right w:w="108" w:type="dxa"/>
          </w:tblCellMar>
        </w:tblPrEx>
        <w:trPr>
          <w:trHeight w:val="285" w:hRule="atLeast"/>
          <w:tblHeader/>
        </w:trPr>
        <w:tc>
          <w:tcPr>
            <w:tcW w:w="2127" w:type="dxa"/>
            <w:vMerge w:val="continue"/>
            <w:tcBorders>
              <w:top w:val="single" w:color="auto" w:sz="4" w:space="0"/>
              <w:left w:val="single" w:color="auto" w:sz="4" w:space="0"/>
              <w:bottom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6237" w:type="dxa"/>
            <w:tcBorders>
              <w:top w:val="single" w:color="auto" w:sz="4" w:space="0"/>
              <w:left w:val="nil"/>
              <w:bottom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▲支持扁平化网络架构：SPB(IEEE 802.1aq ,Shortest Path Bridging,)标准协议，实现网络扁平化，满足服务器虚拟化的动态迁移</w:t>
            </w:r>
          </w:p>
        </w:tc>
      </w:tr>
      <w:tr>
        <w:tblPrEx>
          <w:tblCellMar>
            <w:top w:w="0" w:type="dxa"/>
            <w:left w:w="108" w:type="dxa"/>
            <w:bottom w:w="0" w:type="dxa"/>
            <w:right w:w="108" w:type="dxa"/>
          </w:tblCellMar>
        </w:tblPrEx>
        <w:trPr>
          <w:trHeight w:val="285" w:hRule="atLeast"/>
          <w:tblHeader/>
        </w:trPr>
        <w:tc>
          <w:tcPr>
            <w:tcW w:w="2127" w:type="dxa"/>
            <w:vMerge w:val="continue"/>
            <w:tcBorders>
              <w:top w:val="single" w:color="auto" w:sz="4" w:space="0"/>
              <w:left w:val="single" w:color="auto" w:sz="4" w:space="0"/>
              <w:bottom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6237" w:type="dxa"/>
            <w:tcBorders>
              <w:top w:val="single" w:color="auto" w:sz="4" w:space="0"/>
              <w:left w:val="nil"/>
              <w:bottom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▲上联接口支持以太网光纤信道 (FCoE)</w:t>
            </w:r>
          </w:p>
        </w:tc>
      </w:tr>
      <w:tr>
        <w:tblPrEx>
          <w:tblCellMar>
            <w:top w:w="0" w:type="dxa"/>
            <w:left w:w="108" w:type="dxa"/>
            <w:bottom w:w="0" w:type="dxa"/>
            <w:right w:w="108" w:type="dxa"/>
          </w:tblCellMar>
        </w:tblPrEx>
        <w:trPr>
          <w:trHeight w:val="285" w:hRule="atLeast"/>
          <w:tblHeader/>
        </w:trPr>
        <w:tc>
          <w:tcPr>
            <w:tcW w:w="2127" w:type="dxa"/>
            <w:vMerge w:val="continue"/>
            <w:tcBorders>
              <w:top w:val="single" w:color="auto" w:sz="4" w:space="0"/>
              <w:left w:val="single" w:color="auto" w:sz="4" w:space="0"/>
              <w:bottom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6237" w:type="dxa"/>
            <w:tcBorders>
              <w:top w:val="single" w:color="auto" w:sz="4" w:space="0"/>
              <w:left w:val="nil"/>
              <w:bottom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▲支持Jumbo Frame(巨型帧)</w:t>
            </w:r>
          </w:p>
        </w:tc>
      </w:tr>
      <w:tr>
        <w:tblPrEx>
          <w:tblCellMar>
            <w:top w:w="0" w:type="dxa"/>
            <w:left w:w="108" w:type="dxa"/>
            <w:bottom w:w="0" w:type="dxa"/>
            <w:right w:w="108" w:type="dxa"/>
          </w:tblCellMar>
        </w:tblPrEx>
        <w:trPr>
          <w:trHeight w:val="285" w:hRule="atLeast"/>
          <w:tblHeader/>
        </w:trPr>
        <w:tc>
          <w:tcPr>
            <w:tcW w:w="2127" w:type="dxa"/>
            <w:vMerge w:val="continue"/>
            <w:tcBorders>
              <w:top w:val="single" w:color="auto" w:sz="4" w:space="0"/>
              <w:left w:val="single" w:color="auto" w:sz="4" w:space="0"/>
              <w:bottom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6237" w:type="dxa"/>
            <w:tcBorders>
              <w:top w:val="single" w:color="auto" w:sz="4" w:space="0"/>
              <w:left w:val="nil"/>
              <w:bottom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▲支持每个端口不低于8个优先级队列，支持802.1p协议</w:t>
            </w:r>
          </w:p>
        </w:tc>
      </w:tr>
      <w:tr>
        <w:tblPrEx>
          <w:tblCellMar>
            <w:top w:w="0" w:type="dxa"/>
            <w:left w:w="108" w:type="dxa"/>
            <w:bottom w:w="0" w:type="dxa"/>
            <w:right w:w="108" w:type="dxa"/>
          </w:tblCellMar>
        </w:tblPrEx>
        <w:trPr>
          <w:trHeight w:val="285" w:hRule="atLeast"/>
          <w:tblHeader/>
        </w:trPr>
        <w:tc>
          <w:tcPr>
            <w:tcW w:w="2127" w:type="dxa"/>
            <w:tcBorders>
              <w:top w:val="single" w:color="auto" w:sz="4" w:space="0"/>
              <w:left w:val="single" w:color="auto" w:sz="4" w:space="0"/>
              <w:bottom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管理要求</w:t>
            </w:r>
          </w:p>
        </w:tc>
        <w:tc>
          <w:tcPr>
            <w:tcW w:w="6237" w:type="dxa"/>
            <w:tcBorders>
              <w:top w:val="single" w:color="auto" w:sz="4" w:space="0"/>
              <w:left w:val="nil"/>
              <w:bottom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支持SNMP、CLI、TELNET、SSH2、HTTP、HTTPS、Web</w:t>
            </w:r>
          </w:p>
        </w:tc>
      </w:tr>
      <w:tr>
        <w:tblPrEx>
          <w:tblCellMar>
            <w:top w:w="0" w:type="dxa"/>
            <w:left w:w="108" w:type="dxa"/>
            <w:bottom w:w="0" w:type="dxa"/>
            <w:right w:w="108" w:type="dxa"/>
          </w:tblCellMar>
        </w:tblPrEx>
        <w:trPr>
          <w:trHeight w:val="285" w:hRule="atLeast"/>
          <w:tblHeader/>
        </w:trPr>
        <w:tc>
          <w:tcPr>
            <w:tcW w:w="2127" w:type="dxa"/>
            <w:tcBorders>
              <w:top w:val="single" w:color="auto" w:sz="4" w:space="0"/>
              <w:left w:val="single" w:color="auto" w:sz="4" w:space="0"/>
              <w:bottom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STP要求</w:t>
            </w:r>
          </w:p>
        </w:tc>
        <w:tc>
          <w:tcPr>
            <w:tcW w:w="6237" w:type="dxa"/>
            <w:tcBorders>
              <w:top w:val="single" w:color="auto" w:sz="4" w:space="0"/>
              <w:left w:val="nil"/>
              <w:bottom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★支持标准生成树（STP），IEEE 802.1D，快速生成树（RSTP），IEEE 802.1W，多生成树（MSTP）和每vlan生成树PVST+或者VSTP等相似协议</w:t>
            </w:r>
          </w:p>
        </w:tc>
      </w:tr>
      <w:tr>
        <w:tblPrEx>
          <w:tblCellMar>
            <w:top w:w="0" w:type="dxa"/>
            <w:left w:w="108" w:type="dxa"/>
            <w:bottom w:w="0" w:type="dxa"/>
            <w:right w:w="108" w:type="dxa"/>
          </w:tblCellMar>
        </w:tblPrEx>
        <w:trPr>
          <w:trHeight w:val="285" w:hRule="atLeast"/>
          <w:tblHeader/>
        </w:trPr>
        <w:tc>
          <w:tcPr>
            <w:tcW w:w="2127" w:type="dxa"/>
            <w:tcBorders>
              <w:top w:val="single" w:color="auto" w:sz="4" w:space="0"/>
              <w:left w:val="single" w:color="auto" w:sz="4" w:space="0"/>
              <w:bottom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LACP要求</w:t>
            </w:r>
          </w:p>
        </w:tc>
        <w:tc>
          <w:tcPr>
            <w:tcW w:w="6237" w:type="dxa"/>
            <w:tcBorders>
              <w:top w:val="single" w:color="auto" w:sz="4" w:space="0"/>
              <w:left w:val="nil"/>
              <w:bottom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支持IEEE 802.3ad/802.1AX 链路聚合控制协议</w:t>
            </w:r>
          </w:p>
        </w:tc>
      </w:tr>
      <w:tr>
        <w:tblPrEx>
          <w:tblCellMar>
            <w:top w:w="0" w:type="dxa"/>
            <w:left w:w="108" w:type="dxa"/>
            <w:bottom w:w="0" w:type="dxa"/>
            <w:right w:w="108" w:type="dxa"/>
          </w:tblCellMar>
        </w:tblPrEx>
        <w:trPr>
          <w:trHeight w:val="285" w:hRule="atLeast"/>
          <w:tblHeader/>
        </w:trPr>
        <w:tc>
          <w:tcPr>
            <w:tcW w:w="2127" w:type="dxa"/>
            <w:tcBorders>
              <w:top w:val="single" w:color="auto" w:sz="4" w:space="0"/>
              <w:left w:val="single" w:color="auto" w:sz="4" w:space="0"/>
              <w:bottom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管理和维护</w:t>
            </w:r>
          </w:p>
        </w:tc>
        <w:tc>
          <w:tcPr>
            <w:tcW w:w="6237" w:type="dxa"/>
            <w:tcBorders>
              <w:top w:val="single" w:color="auto" w:sz="4" w:space="0"/>
              <w:left w:val="nil"/>
              <w:bottom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基于WEB管理可以查看面板试图、配置管理、端口及流量监控以及故障分析</w:t>
            </w:r>
          </w:p>
        </w:tc>
      </w:tr>
    </w:tbl>
    <w:p>
      <w:pPr>
        <w:keepLines/>
        <w:widowControl w:val="0"/>
        <w:adjustRightInd/>
        <w:snapToGrid/>
        <w:spacing w:after="0"/>
        <w:ind w:firstLine="360" w:firstLineChars="150"/>
        <w:jc w:val="both"/>
        <w:rPr>
          <w:rFonts w:hint="eastAsia" w:asciiTheme="minorEastAsia" w:hAnsiTheme="minorEastAsia" w:eastAsiaTheme="minorEastAsia"/>
          <w:sz w:val="24"/>
          <w:szCs w:val="24"/>
          <w:lang w:val="sq-AL" w:eastAsia="zh-CN"/>
        </w:rPr>
      </w:pPr>
      <w:r>
        <w:rPr>
          <w:rFonts w:hint="eastAsia" w:asciiTheme="minorEastAsia" w:hAnsiTheme="minorEastAsia" w:eastAsiaTheme="minorEastAsia"/>
          <w:sz w:val="24"/>
          <w:szCs w:val="24"/>
          <w:lang w:val="sq-AL" w:eastAsia="zh-CN"/>
        </w:rPr>
        <w:t>接入交换机：数量70套</w:t>
      </w:r>
    </w:p>
    <w:tbl>
      <w:tblPr>
        <w:tblStyle w:val="10"/>
        <w:tblW w:w="8364" w:type="dxa"/>
        <w:tblInd w:w="0" w:type="dxa"/>
        <w:tblLayout w:type="fixed"/>
        <w:tblCellMar>
          <w:top w:w="0" w:type="dxa"/>
          <w:left w:w="108" w:type="dxa"/>
          <w:bottom w:w="0" w:type="dxa"/>
          <w:right w:w="108" w:type="dxa"/>
        </w:tblCellMar>
      </w:tblPr>
      <w:tblGrid>
        <w:gridCol w:w="2127"/>
        <w:gridCol w:w="6237"/>
      </w:tblGrid>
      <w:tr>
        <w:tblPrEx>
          <w:tblCellMar>
            <w:top w:w="0" w:type="dxa"/>
            <w:left w:w="108" w:type="dxa"/>
            <w:bottom w:w="0" w:type="dxa"/>
            <w:right w:w="108" w:type="dxa"/>
          </w:tblCellMar>
        </w:tblPrEx>
        <w:trPr>
          <w:trHeight w:val="446" w:hRule="atLeast"/>
          <w:tblHeader/>
        </w:trPr>
        <w:tc>
          <w:tcPr>
            <w:tcW w:w="2127" w:type="dxa"/>
            <w:tcBorders>
              <w:top w:val="single" w:color="auto" w:sz="4" w:space="0"/>
              <w:left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功能及技术指标</w:t>
            </w:r>
          </w:p>
        </w:tc>
        <w:tc>
          <w:tcPr>
            <w:tcW w:w="6237" w:type="dxa"/>
            <w:tcBorders>
              <w:top w:val="single" w:color="auto" w:sz="4" w:space="0"/>
              <w:left w:val="nil"/>
              <w:bottom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参数要求</w:t>
            </w:r>
          </w:p>
        </w:tc>
      </w:tr>
      <w:tr>
        <w:tblPrEx>
          <w:tblCellMar>
            <w:top w:w="0" w:type="dxa"/>
            <w:left w:w="108" w:type="dxa"/>
            <w:bottom w:w="0" w:type="dxa"/>
            <w:right w:w="108" w:type="dxa"/>
          </w:tblCellMar>
        </w:tblPrEx>
        <w:trPr>
          <w:trHeight w:val="285" w:hRule="atLeast"/>
          <w:tblHeader/>
        </w:trPr>
        <w:tc>
          <w:tcPr>
            <w:tcW w:w="2127" w:type="dxa"/>
            <w:vMerge w:val="restart"/>
            <w:tcBorders>
              <w:top w:val="single" w:color="auto" w:sz="4" w:space="0"/>
              <w:left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性能要求</w:t>
            </w:r>
          </w:p>
        </w:tc>
        <w:tc>
          <w:tcPr>
            <w:tcW w:w="6237" w:type="dxa"/>
            <w:tcBorders>
              <w:top w:val="single" w:color="auto" w:sz="4" w:space="0"/>
              <w:left w:val="nil"/>
              <w:bottom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★交换容量≥768Gbps</w:t>
            </w:r>
          </w:p>
        </w:tc>
      </w:tr>
      <w:tr>
        <w:tblPrEx>
          <w:tblCellMar>
            <w:top w:w="0" w:type="dxa"/>
            <w:left w:w="108" w:type="dxa"/>
            <w:bottom w:w="0" w:type="dxa"/>
            <w:right w:w="108" w:type="dxa"/>
          </w:tblCellMar>
        </w:tblPrEx>
        <w:trPr>
          <w:trHeight w:val="285" w:hRule="atLeast"/>
          <w:tblHeader/>
        </w:trPr>
        <w:tc>
          <w:tcPr>
            <w:tcW w:w="2127" w:type="dxa"/>
            <w:vMerge w:val="continue"/>
            <w:tcBorders>
              <w:left w:val="single" w:color="auto" w:sz="4" w:space="0"/>
              <w:bottom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6237" w:type="dxa"/>
            <w:tcBorders>
              <w:top w:val="single" w:color="auto" w:sz="4" w:space="0"/>
              <w:left w:val="nil"/>
              <w:bottom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★包转发率≥222Mpps</w:t>
            </w:r>
          </w:p>
        </w:tc>
      </w:tr>
      <w:tr>
        <w:tblPrEx>
          <w:tblCellMar>
            <w:top w:w="0" w:type="dxa"/>
            <w:left w:w="108" w:type="dxa"/>
            <w:bottom w:w="0" w:type="dxa"/>
            <w:right w:w="108" w:type="dxa"/>
          </w:tblCellMar>
        </w:tblPrEx>
        <w:trPr>
          <w:trHeight w:val="285" w:hRule="atLeast"/>
          <w:tblHeader/>
        </w:trPr>
        <w:tc>
          <w:tcPr>
            <w:tcW w:w="2127" w:type="dxa"/>
            <w:tcBorders>
              <w:top w:val="single" w:color="auto" w:sz="4" w:space="0"/>
              <w:left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接口要求</w:t>
            </w:r>
          </w:p>
        </w:tc>
        <w:tc>
          <w:tcPr>
            <w:tcW w:w="6237" w:type="dxa"/>
            <w:tcBorders>
              <w:top w:val="single" w:color="auto" w:sz="4" w:space="0"/>
              <w:left w:val="nil"/>
              <w:bottom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★实配千兆RJ 45端口≥48个，10G SFP+上行端口≥4个，带外管理接口≥1个，万兆单模模块1个</w:t>
            </w:r>
          </w:p>
        </w:tc>
      </w:tr>
      <w:tr>
        <w:tblPrEx>
          <w:tblCellMar>
            <w:top w:w="0" w:type="dxa"/>
            <w:left w:w="108" w:type="dxa"/>
            <w:bottom w:w="0" w:type="dxa"/>
            <w:right w:w="108" w:type="dxa"/>
          </w:tblCellMar>
        </w:tblPrEx>
        <w:trPr>
          <w:trHeight w:val="285" w:hRule="atLeast"/>
          <w:tblHeader/>
        </w:trPr>
        <w:tc>
          <w:tcPr>
            <w:tcW w:w="2127" w:type="dxa"/>
            <w:tcBorders>
              <w:top w:val="single" w:color="auto" w:sz="4" w:space="0"/>
              <w:left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堆叠</w:t>
            </w:r>
          </w:p>
        </w:tc>
        <w:tc>
          <w:tcPr>
            <w:tcW w:w="6237" w:type="dxa"/>
            <w:tcBorders>
              <w:top w:val="single" w:color="auto" w:sz="4" w:space="0"/>
              <w:left w:val="nil"/>
              <w:bottom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★支持不少于3台设备堆叠</w:t>
            </w:r>
          </w:p>
        </w:tc>
      </w:tr>
      <w:tr>
        <w:tblPrEx>
          <w:tblCellMar>
            <w:top w:w="0" w:type="dxa"/>
            <w:left w:w="108" w:type="dxa"/>
            <w:bottom w:w="0" w:type="dxa"/>
            <w:right w:w="108" w:type="dxa"/>
          </w:tblCellMar>
        </w:tblPrEx>
        <w:trPr>
          <w:trHeight w:val="285" w:hRule="atLeast"/>
          <w:tblHeader/>
        </w:trPr>
        <w:tc>
          <w:tcPr>
            <w:tcW w:w="2127" w:type="dxa"/>
            <w:tcBorders>
              <w:top w:val="single" w:color="auto" w:sz="4" w:space="0"/>
              <w:left w:val="single" w:color="auto" w:sz="4" w:space="0"/>
              <w:bottom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电源要求</w:t>
            </w:r>
          </w:p>
        </w:tc>
        <w:tc>
          <w:tcPr>
            <w:tcW w:w="6237" w:type="dxa"/>
            <w:tcBorders>
              <w:top w:val="single" w:color="auto" w:sz="4" w:space="0"/>
              <w:left w:val="nil"/>
              <w:bottom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★单电源</w:t>
            </w:r>
          </w:p>
        </w:tc>
      </w:tr>
      <w:tr>
        <w:tblPrEx>
          <w:tblCellMar>
            <w:top w:w="0" w:type="dxa"/>
            <w:left w:w="108" w:type="dxa"/>
            <w:bottom w:w="0" w:type="dxa"/>
            <w:right w:w="108" w:type="dxa"/>
          </w:tblCellMar>
        </w:tblPrEx>
        <w:trPr>
          <w:trHeight w:val="285" w:hRule="atLeast"/>
          <w:tblHeader/>
        </w:trPr>
        <w:tc>
          <w:tcPr>
            <w:tcW w:w="2127" w:type="dxa"/>
            <w:tcBorders>
              <w:top w:val="single" w:color="auto" w:sz="4" w:space="0"/>
              <w:left w:val="single" w:color="auto" w:sz="4" w:space="0"/>
              <w:bottom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风扇</w:t>
            </w:r>
          </w:p>
        </w:tc>
        <w:tc>
          <w:tcPr>
            <w:tcW w:w="6237" w:type="dxa"/>
            <w:tcBorders>
              <w:top w:val="single" w:color="auto" w:sz="4" w:space="0"/>
              <w:left w:val="nil"/>
              <w:bottom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★单风扇设计</w:t>
            </w:r>
          </w:p>
        </w:tc>
      </w:tr>
      <w:tr>
        <w:tblPrEx>
          <w:tblCellMar>
            <w:top w:w="0" w:type="dxa"/>
            <w:left w:w="108" w:type="dxa"/>
            <w:bottom w:w="0" w:type="dxa"/>
            <w:right w:w="108" w:type="dxa"/>
          </w:tblCellMar>
        </w:tblPrEx>
        <w:trPr>
          <w:trHeight w:val="285" w:hRule="atLeast"/>
          <w:tblHeader/>
        </w:trPr>
        <w:tc>
          <w:tcPr>
            <w:tcW w:w="2127" w:type="dxa"/>
            <w:tcBorders>
              <w:top w:val="single" w:color="auto" w:sz="4" w:space="0"/>
              <w:left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DHCP要求</w:t>
            </w:r>
          </w:p>
        </w:tc>
        <w:tc>
          <w:tcPr>
            <w:tcW w:w="6237" w:type="dxa"/>
            <w:tcBorders>
              <w:top w:val="single" w:color="auto" w:sz="4" w:space="0"/>
              <w:left w:val="nil"/>
              <w:bottom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支持DHCP中继</w:t>
            </w:r>
          </w:p>
        </w:tc>
      </w:tr>
      <w:tr>
        <w:tblPrEx>
          <w:tblCellMar>
            <w:top w:w="0" w:type="dxa"/>
            <w:left w:w="108" w:type="dxa"/>
            <w:bottom w:w="0" w:type="dxa"/>
            <w:right w:w="108" w:type="dxa"/>
          </w:tblCellMar>
        </w:tblPrEx>
        <w:trPr>
          <w:trHeight w:val="285" w:hRule="atLeast"/>
          <w:tblHeader/>
        </w:trPr>
        <w:tc>
          <w:tcPr>
            <w:tcW w:w="2127" w:type="dxa"/>
            <w:tcBorders>
              <w:top w:val="single" w:color="auto" w:sz="4" w:space="0"/>
              <w:left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ACL要求</w:t>
            </w:r>
          </w:p>
        </w:tc>
        <w:tc>
          <w:tcPr>
            <w:tcW w:w="6237" w:type="dxa"/>
            <w:tcBorders>
              <w:top w:val="single" w:color="auto" w:sz="4" w:space="0"/>
              <w:left w:val="nil"/>
              <w:bottom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支持访问控制ACL</w:t>
            </w:r>
          </w:p>
        </w:tc>
      </w:tr>
      <w:tr>
        <w:tblPrEx>
          <w:tblCellMar>
            <w:top w:w="0" w:type="dxa"/>
            <w:left w:w="108" w:type="dxa"/>
            <w:bottom w:w="0" w:type="dxa"/>
            <w:right w:w="108" w:type="dxa"/>
          </w:tblCellMar>
        </w:tblPrEx>
        <w:trPr>
          <w:trHeight w:val="285" w:hRule="atLeast"/>
          <w:tblHeader/>
        </w:trPr>
        <w:tc>
          <w:tcPr>
            <w:tcW w:w="2127" w:type="dxa"/>
            <w:vMerge w:val="restart"/>
            <w:tcBorders>
              <w:top w:val="single" w:color="auto" w:sz="4" w:space="0"/>
              <w:left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路由要求</w:t>
            </w:r>
          </w:p>
        </w:tc>
        <w:tc>
          <w:tcPr>
            <w:tcW w:w="6237" w:type="dxa"/>
            <w:tcBorders>
              <w:top w:val="single" w:color="auto" w:sz="4" w:space="0"/>
              <w:left w:val="nil"/>
              <w:bottom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支持静态路由协议，RIP路由协议</w:t>
            </w:r>
          </w:p>
        </w:tc>
      </w:tr>
      <w:tr>
        <w:tblPrEx>
          <w:tblCellMar>
            <w:top w:w="0" w:type="dxa"/>
            <w:left w:w="108" w:type="dxa"/>
            <w:bottom w:w="0" w:type="dxa"/>
            <w:right w:w="108" w:type="dxa"/>
          </w:tblCellMar>
        </w:tblPrEx>
        <w:trPr>
          <w:trHeight w:val="285" w:hRule="atLeast"/>
          <w:tblHeader/>
        </w:trPr>
        <w:tc>
          <w:tcPr>
            <w:tcW w:w="2127" w:type="dxa"/>
            <w:vMerge w:val="continue"/>
            <w:tcBorders>
              <w:left w:val="single" w:color="auto" w:sz="4" w:space="0"/>
              <w:bottom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6237" w:type="dxa"/>
            <w:tcBorders>
              <w:top w:val="single" w:color="auto" w:sz="4" w:space="0"/>
              <w:left w:val="nil"/>
              <w:bottom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OSPF路由协议，VRRP冗余网关协议</w:t>
            </w:r>
          </w:p>
        </w:tc>
      </w:tr>
      <w:tr>
        <w:tblPrEx>
          <w:tblCellMar>
            <w:top w:w="0" w:type="dxa"/>
            <w:left w:w="108" w:type="dxa"/>
            <w:bottom w:w="0" w:type="dxa"/>
            <w:right w:w="108" w:type="dxa"/>
          </w:tblCellMar>
        </w:tblPrEx>
        <w:trPr>
          <w:trHeight w:val="285" w:hRule="atLeast"/>
          <w:tblHeader/>
        </w:trPr>
        <w:tc>
          <w:tcPr>
            <w:tcW w:w="2127" w:type="dxa"/>
            <w:vMerge w:val="restart"/>
            <w:tcBorders>
              <w:top w:val="single" w:color="auto" w:sz="4" w:space="0"/>
              <w:left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功能要求</w:t>
            </w:r>
          </w:p>
        </w:tc>
        <w:tc>
          <w:tcPr>
            <w:tcW w:w="6237" w:type="dxa"/>
            <w:tcBorders>
              <w:top w:val="single" w:color="auto" w:sz="4" w:space="0"/>
              <w:left w:val="nil"/>
              <w:bottom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支持端口镜像功能</w:t>
            </w:r>
          </w:p>
        </w:tc>
      </w:tr>
      <w:tr>
        <w:tblPrEx>
          <w:tblCellMar>
            <w:top w:w="0" w:type="dxa"/>
            <w:left w:w="108" w:type="dxa"/>
            <w:bottom w:w="0" w:type="dxa"/>
            <w:right w:w="108" w:type="dxa"/>
          </w:tblCellMar>
        </w:tblPrEx>
        <w:trPr>
          <w:trHeight w:val="285" w:hRule="atLeast"/>
          <w:tblHeader/>
        </w:trPr>
        <w:tc>
          <w:tcPr>
            <w:tcW w:w="2127" w:type="dxa"/>
            <w:vMerge w:val="continue"/>
            <w:tcBorders>
              <w:left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6237" w:type="dxa"/>
            <w:tcBorders>
              <w:top w:val="single" w:color="auto" w:sz="4" w:space="0"/>
              <w:left w:val="nil"/>
              <w:bottom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支持syslog、SNMP:v1,v2,v3，网络管理方式</w:t>
            </w:r>
          </w:p>
        </w:tc>
      </w:tr>
      <w:tr>
        <w:tblPrEx>
          <w:tblCellMar>
            <w:top w:w="0" w:type="dxa"/>
            <w:left w:w="108" w:type="dxa"/>
            <w:bottom w:w="0" w:type="dxa"/>
            <w:right w:w="108" w:type="dxa"/>
          </w:tblCellMar>
        </w:tblPrEx>
        <w:trPr>
          <w:trHeight w:val="285" w:hRule="atLeast"/>
          <w:tblHeader/>
        </w:trPr>
        <w:tc>
          <w:tcPr>
            <w:tcW w:w="2127" w:type="dxa"/>
            <w:vMerge w:val="continue"/>
            <w:tcBorders>
              <w:left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6237" w:type="dxa"/>
            <w:tcBorders>
              <w:top w:val="single" w:color="auto" w:sz="4" w:space="0"/>
              <w:left w:val="nil"/>
              <w:bottom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支持基于MAC的身份验证</w:t>
            </w:r>
          </w:p>
        </w:tc>
      </w:tr>
      <w:tr>
        <w:tblPrEx>
          <w:tblCellMar>
            <w:top w:w="0" w:type="dxa"/>
            <w:left w:w="108" w:type="dxa"/>
            <w:bottom w:w="0" w:type="dxa"/>
            <w:right w:w="108" w:type="dxa"/>
          </w:tblCellMar>
        </w:tblPrEx>
        <w:trPr>
          <w:trHeight w:val="285" w:hRule="atLeast"/>
          <w:tblHeader/>
        </w:trPr>
        <w:tc>
          <w:tcPr>
            <w:tcW w:w="2127" w:type="dxa"/>
            <w:vMerge w:val="continue"/>
            <w:tcBorders>
              <w:left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6237" w:type="dxa"/>
            <w:tcBorders>
              <w:top w:val="single" w:color="auto" w:sz="4" w:space="0"/>
              <w:left w:val="nil"/>
              <w:bottom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支持链路层发现协议IEEE802.1ab LLDP</w:t>
            </w:r>
          </w:p>
        </w:tc>
      </w:tr>
      <w:tr>
        <w:tblPrEx>
          <w:tblCellMar>
            <w:top w:w="0" w:type="dxa"/>
            <w:left w:w="108" w:type="dxa"/>
            <w:bottom w:w="0" w:type="dxa"/>
            <w:right w:w="108" w:type="dxa"/>
          </w:tblCellMar>
        </w:tblPrEx>
        <w:trPr>
          <w:trHeight w:val="285" w:hRule="atLeast"/>
          <w:tblHeader/>
        </w:trPr>
        <w:tc>
          <w:tcPr>
            <w:tcW w:w="2127" w:type="dxa"/>
            <w:vMerge w:val="continue"/>
            <w:tcBorders>
              <w:left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6237" w:type="dxa"/>
            <w:tcBorders>
              <w:top w:val="single" w:color="auto" w:sz="4" w:space="0"/>
              <w:left w:val="nil"/>
              <w:bottom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支持IGMP组播路由协议</w:t>
            </w:r>
          </w:p>
        </w:tc>
      </w:tr>
      <w:tr>
        <w:tblPrEx>
          <w:tblCellMar>
            <w:top w:w="0" w:type="dxa"/>
            <w:left w:w="108" w:type="dxa"/>
            <w:bottom w:w="0" w:type="dxa"/>
            <w:right w:w="108" w:type="dxa"/>
          </w:tblCellMar>
        </w:tblPrEx>
        <w:trPr>
          <w:trHeight w:val="285" w:hRule="atLeast"/>
          <w:tblHeader/>
        </w:trPr>
        <w:tc>
          <w:tcPr>
            <w:tcW w:w="2127" w:type="dxa"/>
            <w:vMerge w:val="continue"/>
            <w:tcBorders>
              <w:left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6237" w:type="dxa"/>
            <w:tcBorders>
              <w:top w:val="single" w:color="auto" w:sz="4" w:space="0"/>
              <w:left w:val="nil"/>
              <w:bottom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支持Graceful restart，重启动路由进程不影响业务，零丢包</w:t>
            </w:r>
          </w:p>
        </w:tc>
      </w:tr>
      <w:tr>
        <w:tblPrEx>
          <w:tblCellMar>
            <w:top w:w="0" w:type="dxa"/>
            <w:left w:w="108" w:type="dxa"/>
            <w:bottom w:w="0" w:type="dxa"/>
            <w:right w:w="108" w:type="dxa"/>
          </w:tblCellMar>
        </w:tblPrEx>
        <w:trPr>
          <w:trHeight w:val="285" w:hRule="atLeast"/>
          <w:tblHeader/>
        </w:trPr>
        <w:tc>
          <w:tcPr>
            <w:tcW w:w="2127" w:type="dxa"/>
            <w:vMerge w:val="continue"/>
            <w:tcBorders>
              <w:left w:val="single" w:color="auto" w:sz="4" w:space="0"/>
              <w:bottom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p>
        </w:tc>
        <w:tc>
          <w:tcPr>
            <w:tcW w:w="6237" w:type="dxa"/>
            <w:tcBorders>
              <w:top w:val="single" w:color="auto" w:sz="4" w:space="0"/>
              <w:left w:val="nil"/>
              <w:bottom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支持流量控制</w:t>
            </w:r>
          </w:p>
        </w:tc>
      </w:tr>
      <w:tr>
        <w:tblPrEx>
          <w:tblCellMar>
            <w:top w:w="0" w:type="dxa"/>
            <w:left w:w="108" w:type="dxa"/>
            <w:bottom w:w="0" w:type="dxa"/>
            <w:right w:w="108" w:type="dxa"/>
          </w:tblCellMar>
        </w:tblPrEx>
        <w:trPr>
          <w:trHeight w:val="285" w:hRule="atLeast"/>
          <w:tblHeader/>
        </w:trPr>
        <w:tc>
          <w:tcPr>
            <w:tcW w:w="2127" w:type="dxa"/>
            <w:tcBorders>
              <w:top w:val="single" w:color="auto" w:sz="4" w:space="0"/>
              <w:left w:val="single" w:color="auto" w:sz="4" w:space="0"/>
              <w:bottom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管理要求</w:t>
            </w:r>
          </w:p>
        </w:tc>
        <w:tc>
          <w:tcPr>
            <w:tcW w:w="6237" w:type="dxa"/>
            <w:tcBorders>
              <w:top w:val="single" w:color="auto" w:sz="4" w:space="0"/>
              <w:left w:val="nil"/>
              <w:bottom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支持SNMP、CLI、TELNET、SSH2、HTTP、HTTPS、Web</w:t>
            </w:r>
          </w:p>
        </w:tc>
      </w:tr>
      <w:tr>
        <w:tblPrEx>
          <w:tblCellMar>
            <w:top w:w="0" w:type="dxa"/>
            <w:left w:w="108" w:type="dxa"/>
            <w:bottom w:w="0" w:type="dxa"/>
            <w:right w:w="108" w:type="dxa"/>
          </w:tblCellMar>
        </w:tblPrEx>
        <w:trPr>
          <w:trHeight w:val="285" w:hRule="atLeast"/>
          <w:tblHeader/>
        </w:trPr>
        <w:tc>
          <w:tcPr>
            <w:tcW w:w="2127" w:type="dxa"/>
            <w:tcBorders>
              <w:top w:val="single" w:color="auto" w:sz="4" w:space="0"/>
              <w:left w:val="single" w:color="auto" w:sz="4" w:space="0"/>
              <w:bottom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STP要求</w:t>
            </w:r>
          </w:p>
        </w:tc>
        <w:tc>
          <w:tcPr>
            <w:tcW w:w="6237" w:type="dxa"/>
            <w:tcBorders>
              <w:top w:val="single" w:color="auto" w:sz="4" w:space="0"/>
              <w:left w:val="nil"/>
              <w:bottom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★支持标准生成树（STP），IEEE 802.1D，快速生成树（RSTP），IEEE 802.1W，多生成树（MSTP）和每vlan生成树PVST+或者VSTP等相似协议</w:t>
            </w:r>
          </w:p>
        </w:tc>
      </w:tr>
      <w:tr>
        <w:tblPrEx>
          <w:tblCellMar>
            <w:top w:w="0" w:type="dxa"/>
            <w:left w:w="108" w:type="dxa"/>
            <w:bottom w:w="0" w:type="dxa"/>
            <w:right w:w="108" w:type="dxa"/>
          </w:tblCellMar>
        </w:tblPrEx>
        <w:trPr>
          <w:trHeight w:val="285" w:hRule="atLeast"/>
          <w:tblHeader/>
        </w:trPr>
        <w:tc>
          <w:tcPr>
            <w:tcW w:w="2127" w:type="dxa"/>
            <w:tcBorders>
              <w:top w:val="single" w:color="auto" w:sz="4" w:space="0"/>
              <w:left w:val="single" w:color="auto" w:sz="4" w:space="0"/>
              <w:bottom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LACP要求</w:t>
            </w:r>
          </w:p>
        </w:tc>
        <w:tc>
          <w:tcPr>
            <w:tcW w:w="6237" w:type="dxa"/>
            <w:tcBorders>
              <w:top w:val="single" w:color="auto" w:sz="4" w:space="0"/>
              <w:left w:val="nil"/>
              <w:bottom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支持IEEE 802.3ad/802.1AX 链路聚合控制协议</w:t>
            </w:r>
          </w:p>
        </w:tc>
      </w:tr>
      <w:tr>
        <w:tblPrEx>
          <w:tblCellMar>
            <w:top w:w="0" w:type="dxa"/>
            <w:left w:w="108" w:type="dxa"/>
            <w:bottom w:w="0" w:type="dxa"/>
            <w:right w:w="108" w:type="dxa"/>
          </w:tblCellMar>
        </w:tblPrEx>
        <w:trPr>
          <w:trHeight w:val="285" w:hRule="atLeast"/>
          <w:tblHeader/>
        </w:trPr>
        <w:tc>
          <w:tcPr>
            <w:tcW w:w="2127" w:type="dxa"/>
            <w:tcBorders>
              <w:top w:val="single" w:color="auto" w:sz="4" w:space="0"/>
              <w:left w:val="single" w:color="auto" w:sz="4" w:space="0"/>
              <w:bottom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管理和维护</w:t>
            </w:r>
          </w:p>
        </w:tc>
        <w:tc>
          <w:tcPr>
            <w:tcW w:w="6237" w:type="dxa"/>
            <w:tcBorders>
              <w:top w:val="single" w:color="auto" w:sz="4" w:space="0"/>
              <w:left w:val="nil"/>
              <w:bottom w:val="single" w:color="auto" w:sz="4" w:space="0"/>
              <w:right w:val="single" w:color="auto" w:sz="4" w:space="0"/>
            </w:tcBorders>
            <w:noWrap w:val="0"/>
            <w:vAlign w:val="center"/>
          </w:tcPr>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基于WEB管理可以查看面板试图、配置管理、端口及流量监控以及故障分析</w:t>
            </w:r>
          </w:p>
        </w:tc>
      </w:tr>
    </w:tbl>
    <w:p>
      <w:pPr>
        <w:keepLines/>
        <w:widowControl w:val="0"/>
        <w:adjustRightInd/>
        <w:snapToGrid/>
        <w:spacing w:after="0"/>
        <w:ind w:firstLine="360" w:firstLineChars="150"/>
        <w:jc w:val="both"/>
        <w:rPr>
          <w:rFonts w:hint="eastAsia" w:asciiTheme="minorEastAsia" w:hAnsiTheme="minorEastAsia" w:eastAsiaTheme="minorEastAsia"/>
          <w:sz w:val="24"/>
          <w:szCs w:val="24"/>
        </w:rPr>
      </w:pPr>
    </w:p>
    <w:p>
      <w:pPr>
        <w:keepLines/>
        <w:widowControl w:val="0"/>
        <w:adjustRightInd/>
        <w:snapToGrid/>
        <w:spacing w:after="0"/>
        <w:ind w:firstLine="360" w:firstLineChars="150"/>
        <w:jc w:val="both"/>
        <w:rPr>
          <w:rFonts w:hint="eastAsia" w:asciiTheme="minorEastAsia" w:hAnsiTheme="minorEastAsia" w:eastAsiaTheme="minorEastAsia"/>
          <w:sz w:val="24"/>
          <w:szCs w:val="24"/>
          <w:lang w:val="en-US" w:eastAsia="zh-CN"/>
        </w:rPr>
      </w:pPr>
      <w:bookmarkStart w:id="16" w:name="_Toc107408682"/>
      <w:r>
        <w:rPr>
          <w:rFonts w:hint="eastAsia" w:asciiTheme="minorEastAsia" w:hAnsiTheme="minorEastAsia" w:eastAsiaTheme="minorEastAsia"/>
          <w:sz w:val="24"/>
          <w:szCs w:val="24"/>
          <w:lang w:val="en-US" w:eastAsia="zh-CN"/>
        </w:rPr>
        <w:t>3、项目验收及质保期</w:t>
      </w:r>
      <w:bookmarkEnd w:id="15"/>
      <w:bookmarkEnd w:id="16"/>
    </w:p>
    <w:p>
      <w:pPr>
        <w:keepLines/>
        <w:widowControl w:val="0"/>
        <w:adjustRightInd/>
        <w:snapToGrid/>
        <w:spacing w:after="0"/>
        <w:ind w:firstLine="360" w:firstLineChars="150"/>
        <w:jc w:val="both"/>
        <w:rPr>
          <w:rFonts w:hint="eastAsia" w:asciiTheme="minorEastAsia" w:hAnsiTheme="minorEastAsia" w:eastAsiaTheme="minorEastAsia"/>
          <w:sz w:val="24"/>
          <w:szCs w:val="24"/>
        </w:rPr>
      </w:pPr>
      <w:bookmarkStart w:id="17" w:name="_Toc511661034"/>
      <w:r>
        <w:rPr>
          <w:rFonts w:hint="eastAsia" w:asciiTheme="minorEastAsia" w:hAnsiTheme="minorEastAsia" w:eastAsiaTheme="minorEastAsia"/>
          <w:sz w:val="24"/>
          <w:szCs w:val="24"/>
        </w:rPr>
        <w:t>合同签订后</w:t>
      </w:r>
      <w:r>
        <w:rPr>
          <w:rFonts w:asciiTheme="minorEastAsia" w:hAnsiTheme="minorEastAsia" w:eastAsiaTheme="minorEastAsia"/>
          <w:sz w:val="24"/>
          <w:szCs w:val="24"/>
        </w:rPr>
        <w:t>3</w:t>
      </w:r>
      <w:r>
        <w:rPr>
          <w:rFonts w:hint="eastAsia" w:asciiTheme="minorEastAsia" w:hAnsiTheme="minorEastAsia" w:eastAsiaTheme="minorEastAsia"/>
          <w:sz w:val="24"/>
          <w:szCs w:val="24"/>
        </w:rPr>
        <w:t>个月内交付所有设备并安装调试实现所有功能可接受验收。</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项目免费质保周期为 </w:t>
      </w: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rPr>
        <w:t>年。</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所有投标供应商须按照上述要求分项应答，按照指定的日期和验收要求供货，并承诺质保周期，如未按照上述要求分项应答，按响应无效处理。</w:t>
      </w:r>
    </w:p>
    <w:p>
      <w:pPr>
        <w:keepLines/>
        <w:widowControl w:val="0"/>
        <w:adjustRightInd/>
        <w:snapToGrid/>
        <w:spacing w:after="0"/>
        <w:ind w:firstLine="360" w:firstLineChars="150"/>
        <w:jc w:val="both"/>
        <w:rPr>
          <w:rFonts w:hint="eastAsia" w:asciiTheme="minorEastAsia" w:hAnsiTheme="minorEastAsia" w:eastAsiaTheme="minorEastAsia"/>
          <w:sz w:val="24"/>
          <w:szCs w:val="24"/>
          <w:lang w:val="en-US" w:eastAsia="zh-CN"/>
        </w:rPr>
      </w:pPr>
      <w:bookmarkStart w:id="18" w:name="_Toc107408683"/>
      <w:r>
        <w:rPr>
          <w:rFonts w:hint="eastAsia" w:asciiTheme="minorEastAsia" w:hAnsiTheme="minorEastAsia" w:eastAsiaTheme="minorEastAsia"/>
          <w:sz w:val="24"/>
          <w:szCs w:val="24"/>
          <w:lang w:val="en-US" w:eastAsia="zh-CN"/>
        </w:rPr>
        <w:t>4、付款方式和条件</w:t>
      </w:r>
      <w:bookmarkEnd w:id="17"/>
      <w:bookmarkEnd w:id="18"/>
    </w:p>
    <w:p>
      <w:pPr>
        <w:keepLines/>
        <w:widowControl w:val="0"/>
        <w:adjustRightInd/>
        <w:snapToGrid/>
        <w:spacing w:after="0"/>
        <w:ind w:firstLine="360" w:firstLineChars="150"/>
        <w:jc w:val="both"/>
        <w:rPr>
          <w:rFonts w:hint="eastAsia" w:asciiTheme="minorEastAsia" w:hAnsiTheme="minorEastAsia" w:eastAsiaTheme="minorEastAsia"/>
          <w:sz w:val="24"/>
          <w:szCs w:val="24"/>
        </w:rPr>
      </w:pPr>
      <w:bookmarkStart w:id="19" w:name="_Toc511661035"/>
      <w:r>
        <w:rPr>
          <w:rFonts w:hint="eastAsia" w:asciiTheme="minorEastAsia" w:hAnsiTheme="minorEastAsia" w:eastAsiaTheme="minorEastAsia"/>
          <w:sz w:val="24"/>
          <w:szCs w:val="24"/>
        </w:rPr>
        <w:t>付款方式：合同签订后付款中标金额50%，待验收合格后付款中标金额45%，自验收合格之日满一年且签订质保协议后付尾款中标金额5%</w:t>
      </w:r>
    </w:p>
    <w:p>
      <w:pPr>
        <w:keepLines/>
        <w:widowControl w:val="0"/>
        <w:adjustRightInd/>
        <w:snapToGrid/>
        <w:spacing w:after="0"/>
        <w:ind w:firstLine="360" w:firstLineChars="150"/>
        <w:jc w:val="both"/>
        <w:rPr>
          <w:rFonts w:hint="eastAsia" w:asciiTheme="minorEastAsia" w:hAnsiTheme="minorEastAsia" w:eastAsiaTheme="minorEastAsia"/>
          <w:sz w:val="24"/>
          <w:szCs w:val="24"/>
          <w:lang w:val="en-US" w:eastAsia="zh-CN"/>
        </w:rPr>
      </w:pPr>
      <w:bookmarkStart w:id="20" w:name="_Toc107408684"/>
      <w:r>
        <w:rPr>
          <w:rFonts w:hint="eastAsia" w:asciiTheme="minorEastAsia" w:hAnsiTheme="minorEastAsia" w:eastAsiaTheme="minorEastAsia"/>
          <w:sz w:val="24"/>
          <w:szCs w:val="24"/>
          <w:lang w:val="en-US" w:eastAsia="zh-CN"/>
        </w:rPr>
        <w:t>5、售后维护要求</w:t>
      </w:r>
      <w:bookmarkEnd w:id="19"/>
      <w:bookmarkEnd w:id="20"/>
    </w:p>
    <w:p>
      <w:pPr>
        <w:keepLines/>
        <w:widowControl w:val="0"/>
        <w:adjustRightInd/>
        <w:snapToGrid/>
        <w:spacing w:after="0"/>
        <w:ind w:firstLine="360" w:firstLineChars="15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1.售后服务函</w:t>
      </w:r>
    </w:p>
    <w:tbl>
      <w:tblPr>
        <w:tblStyle w:val="10"/>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0"/>
        <w:gridCol w:w="6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040" w:type="dxa"/>
            <w:noWrap/>
            <w:vAlign w:val="center"/>
          </w:tcPr>
          <w:p>
            <w:pPr>
              <w:keepLines/>
              <w:widowControl w:val="0"/>
              <w:adjustRightInd/>
              <w:snapToGrid/>
              <w:spacing w:after="0"/>
              <w:ind w:firstLine="360" w:firstLineChars="150"/>
              <w:jc w:val="both"/>
              <w:rPr>
                <w:rFonts w:asciiTheme="minorEastAsia" w:hAnsiTheme="minorEastAsia" w:eastAsiaTheme="minorEastAsia"/>
                <w:sz w:val="24"/>
                <w:szCs w:val="24"/>
              </w:rPr>
            </w:pPr>
            <w:r>
              <w:rPr>
                <w:rFonts w:hint="eastAsia" w:asciiTheme="minorEastAsia" w:hAnsiTheme="minorEastAsia" w:eastAsiaTheme="minorEastAsia"/>
                <w:sz w:val="24"/>
                <w:szCs w:val="24"/>
              </w:rPr>
              <w:t>售后服务</w:t>
            </w:r>
          </w:p>
          <w:p>
            <w:pPr>
              <w:keepLines/>
              <w:widowControl w:val="0"/>
              <w:adjustRightInd/>
              <w:snapToGrid/>
              <w:spacing w:after="0"/>
              <w:ind w:firstLine="360" w:firstLineChars="150"/>
              <w:jc w:val="both"/>
              <w:rPr>
                <w:rFonts w:asciiTheme="minorEastAsia" w:hAnsiTheme="minorEastAsia" w:eastAsiaTheme="minorEastAsia"/>
                <w:sz w:val="24"/>
                <w:szCs w:val="24"/>
              </w:rPr>
            </w:pPr>
            <w:r>
              <w:rPr>
                <w:rFonts w:hint="eastAsia" w:asciiTheme="minorEastAsia" w:hAnsiTheme="minorEastAsia" w:eastAsiaTheme="minorEastAsia"/>
                <w:sz w:val="24"/>
                <w:szCs w:val="24"/>
              </w:rPr>
              <w:t>承诺函要求</w:t>
            </w:r>
          </w:p>
        </w:tc>
        <w:tc>
          <w:tcPr>
            <w:tcW w:w="6197" w:type="dxa"/>
            <w:noWrap w:val="0"/>
            <w:vAlign w:val="center"/>
          </w:tcPr>
          <w:p>
            <w:pPr>
              <w:keepLines/>
              <w:widowControl w:val="0"/>
              <w:adjustRightInd/>
              <w:snapToGrid/>
              <w:spacing w:after="0"/>
              <w:ind w:firstLine="360" w:firstLineChars="150"/>
              <w:jc w:val="both"/>
              <w:rPr>
                <w:rFonts w:asciiTheme="minorEastAsia" w:hAnsiTheme="minorEastAsia" w:eastAsiaTheme="minorEastAsia"/>
                <w:sz w:val="24"/>
                <w:szCs w:val="24"/>
              </w:rPr>
            </w:pPr>
            <w:r>
              <w:rPr>
                <w:rFonts w:hint="eastAsia" w:asciiTheme="minorEastAsia" w:hAnsiTheme="minorEastAsia" w:eastAsiaTheme="minorEastAsia"/>
                <w:sz w:val="24"/>
                <w:szCs w:val="24"/>
              </w:rPr>
              <w:t>投标文件中须提供设备制造厂家的售后服务承诺函的彩色扫描件并加盖投标人公章。</w:t>
            </w:r>
          </w:p>
        </w:tc>
      </w:tr>
    </w:tbl>
    <w:p>
      <w:pPr>
        <w:keepLines/>
        <w:widowControl w:val="0"/>
        <w:adjustRightInd/>
        <w:snapToGrid/>
        <w:spacing w:after="0"/>
        <w:ind w:firstLine="360" w:firstLineChars="150"/>
        <w:jc w:val="both"/>
        <w:rPr>
          <w:rFonts w:asciiTheme="minorEastAsia" w:hAnsiTheme="minorEastAsia" w:eastAsiaTheme="minorEastAsia"/>
          <w:sz w:val="24"/>
          <w:szCs w:val="24"/>
        </w:rPr>
      </w:pP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2.售后服务</w:t>
      </w:r>
    </w:p>
    <w:tbl>
      <w:tblPr>
        <w:tblStyle w:val="10"/>
        <w:tblW w:w="0" w:type="auto"/>
        <w:tblInd w:w="93" w:type="dxa"/>
        <w:tblLayout w:type="fixed"/>
        <w:tblCellMar>
          <w:top w:w="0" w:type="dxa"/>
          <w:left w:w="108" w:type="dxa"/>
          <w:bottom w:w="0" w:type="dxa"/>
          <w:right w:w="108" w:type="dxa"/>
        </w:tblCellMar>
      </w:tblPr>
      <w:tblGrid>
        <w:gridCol w:w="2040"/>
        <w:gridCol w:w="6197"/>
      </w:tblGrid>
      <w:tr>
        <w:tblPrEx>
          <w:tblCellMar>
            <w:top w:w="0" w:type="dxa"/>
            <w:left w:w="108" w:type="dxa"/>
            <w:bottom w:w="0" w:type="dxa"/>
            <w:right w:w="108" w:type="dxa"/>
          </w:tblCellMar>
        </w:tblPrEx>
        <w:trPr>
          <w:trHeight w:val="270" w:hRule="atLeast"/>
        </w:trPr>
        <w:tc>
          <w:tcPr>
            <w:tcW w:w="2040" w:type="dxa"/>
            <w:tcBorders>
              <w:top w:val="single" w:color="auto" w:sz="4" w:space="0"/>
              <w:left w:val="single" w:color="auto" w:sz="4" w:space="0"/>
              <w:bottom w:val="single" w:color="auto" w:sz="4" w:space="0"/>
              <w:right w:val="single" w:color="auto" w:sz="4" w:space="0"/>
            </w:tcBorders>
            <w:noWrap/>
            <w:vAlign w:val="center"/>
          </w:tcPr>
          <w:p>
            <w:pPr>
              <w:keepLines/>
              <w:widowControl w:val="0"/>
              <w:adjustRightInd/>
              <w:snapToGrid/>
              <w:spacing w:after="0"/>
              <w:ind w:firstLine="360" w:firstLineChars="150"/>
              <w:jc w:val="both"/>
              <w:rPr>
                <w:rFonts w:asciiTheme="minorEastAsia" w:hAnsiTheme="minorEastAsia" w:eastAsiaTheme="minorEastAsia"/>
                <w:sz w:val="24"/>
                <w:szCs w:val="24"/>
              </w:rPr>
            </w:pPr>
            <w:r>
              <w:rPr>
                <w:rFonts w:hint="eastAsia" w:asciiTheme="minorEastAsia" w:hAnsiTheme="minorEastAsia" w:eastAsiaTheme="minorEastAsia"/>
                <w:sz w:val="24"/>
                <w:szCs w:val="24"/>
              </w:rPr>
              <w:t>质保年限</w:t>
            </w:r>
          </w:p>
        </w:tc>
        <w:tc>
          <w:tcPr>
            <w:tcW w:w="6197" w:type="dxa"/>
            <w:tcBorders>
              <w:top w:val="single" w:color="auto" w:sz="4" w:space="0"/>
              <w:left w:val="nil"/>
              <w:bottom w:val="single" w:color="auto" w:sz="4" w:space="0"/>
              <w:right w:val="single" w:color="auto" w:sz="4" w:space="0"/>
            </w:tcBorders>
            <w:noWrap/>
            <w:vAlign w:val="bottom"/>
          </w:tcPr>
          <w:p>
            <w:pPr>
              <w:keepLines/>
              <w:widowControl w:val="0"/>
              <w:adjustRightInd/>
              <w:snapToGrid/>
              <w:spacing w:after="0"/>
              <w:ind w:firstLine="360" w:firstLineChars="150"/>
              <w:jc w:val="both"/>
              <w:rPr>
                <w:rFonts w:asciiTheme="minorEastAsia" w:hAnsiTheme="minorEastAsia" w:eastAsiaTheme="minorEastAsia"/>
                <w:sz w:val="24"/>
                <w:szCs w:val="24"/>
              </w:rPr>
            </w:pPr>
            <w:r>
              <w:rPr>
                <w:rFonts w:hint="eastAsia" w:asciiTheme="minorEastAsia" w:hAnsiTheme="minorEastAsia" w:eastAsiaTheme="minorEastAsia"/>
                <w:sz w:val="24"/>
                <w:szCs w:val="24"/>
              </w:rPr>
              <w:t>所有软硬件设备提供不少于</w:t>
            </w:r>
            <w:r>
              <w:rPr>
                <w:rFonts w:hint="eastAsia" w:asciiTheme="minorEastAsia" w:hAnsiTheme="minorEastAsia" w:eastAsiaTheme="minorEastAsia"/>
                <w:sz w:val="24"/>
                <w:szCs w:val="24"/>
                <w:lang w:val="en-US" w:eastAsia="zh-CN"/>
              </w:rPr>
              <w:t>五</w:t>
            </w:r>
            <w:r>
              <w:rPr>
                <w:rFonts w:hint="eastAsia" w:asciiTheme="minorEastAsia" w:hAnsiTheme="minorEastAsia" w:eastAsiaTheme="minorEastAsia"/>
                <w:sz w:val="24"/>
                <w:szCs w:val="24"/>
              </w:rPr>
              <w:t>年7*</w:t>
            </w:r>
            <w:r>
              <w:rPr>
                <w:rFonts w:asciiTheme="minorEastAsia" w:hAnsiTheme="minorEastAsia" w:eastAsiaTheme="minorEastAsia"/>
                <w:sz w:val="24"/>
                <w:szCs w:val="24"/>
              </w:rPr>
              <w:t>24</w:t>
            </w:r>
            <w:r>
              <w:rPr>
                <w:rFonts w:hint="eastAsia" w:asciiTheme="minorEastAsia" w:hAnsiTheme="minorEastAsia" w:eastAsiaTheme="minorEastAsia"/>
                <w:sz w:val="24"/>
                <w:szCs w:val="24"/>
              </w:rPr>
              <w:t>小时的原厂免费质保</w:t>
            </w:r>
          </w:p>
        </w:tc>
      </w:tr>
      <w:tr>
        <w:tblPrEx>
          <w:tblCellMar>
            <w:top w:w="0" w:type="dxa"/>
            <w:left w:w="108" w:type="dxa"/>
            <w:bottom w:w="0" w:type="dxa"/>
            <w:right w:w="108" w:type="dxa"/>
          </w:tblCellMar>
        </w:tblPrEx>
        <w:trPr>
          <w:trHeight w:val="270" w:hRule="atLeast"/>
        </w:trPr>
        <w:tc>
          <w:tcPr>
            <w:tcW w:w="2040" w:type="dxa"/>
            <w:tcBorders>
              <w:top w:val="nil"/>
              <w:left w:val="single" w:color="auto" w:sz="4" w:space="0"/>
              <w:bottom w:val="single" w:color="auto" w:sz="4" w:space="0"/>
              <w:right w:val="single" w:color="auto" w:sz="4" w:space="0"/>
            </w:tcBorders>
            <w:noWrap/>
            <w:vAlign w:val="center"/>
          </w:tcPr>
          <w:p>
            <w:pPr>
              <w:keepLines/>
              <w:widowControl w:val="0"/>
              <w:adjustRightInd/>
              <w:snapToGrid/>
              <w:spacing w:after="0"/>
              <w:ind w:firstLine="360" w:firstLineChars="150"/>
              <w:jc w:val="both"/>
              <w:rPr>
                <w:rFonts w:asciiTheme="minorEastAsia" w:hAnsiTheme="minorEastAsia" w:eastAsiaTheme="minorEastAsia"/>
                <w:sz w:val="24"/>
                <w:szCs w:val="24"/>
              </w:rPr>
            </w:pPr>
            <w:r>
              <w:rPr>
                <w:rFonts w:hint="eastAsia" w:asciiTheme="minorEastAsia" w:hAnsiTheme="minorEastAsia" w:eastAsiaTheme="minorEastAsia"/>
                <w:sz w:val="24"/>
                <w:szCs w:val="24"/>
              </w:rPr>
              <w:t>响应时间</w:t>
            </w:r>
          </w:p>
        </w:tc>
        <w:tc>
          <w:tcPr>
            <w:tcW w:w="6197" w:type="dxa"/>
            <w:tcBorders>
              <w:top w:val="nil"/>
              <w:left w:val="nil"/>
              <w:bottom w:val="single" w:color="auto" w:sz="4" w:space="0"/>
              <w:right w:val="single" w:color="auto" w:sz="4" w:space="0"/>
            </w:tcBorders>
            <w:noWrap/>
            <w:vAlign w:val="bottom"/>
          </w:tcPr>
          <w:p>
            <w:pPr>
              <w:keepLines/>
              <w:widowControl w:val="0"/>
              <w:adjustRightInd/>
              <w:snapToGrid/>
              <w:spacing w:after="0"/>
              <w:ind w:firstLine="360" w:firstLineChars="150"/>
              <w:jc w:val="both"/>
              <w:rPr>
                <w:rFonts w:asciiTheme="minorEastAsia" w:hAnsiTheme="minorEastAsia" w:eastAsiaTheme="minorEastAsia"/>
                <w:sz w:val="24"/>
                <w:szCs w:val="24"/>
              </w:rPr>
            </w:pPr>
            <w:r>
              <w:rPr>
                <w:rFonts w:hint="eastAsia" w:asciiTheme="minorEastAsia" w:hAnsiTheme="minorEastAsia" w:eastAsiaTheme="minorEastAsia"/>
                <w:sz w:val="24"/>
                <w:szCs w:val="24"/>
              </w:rPr>
              <w:t>本次采购的所有硬件设备要求有充足备件；故障响应时间不得超过 2 小时</w:t>
            </w:r>
          </w:p>
        </w:tc>
      </w:tr>
      <w:tr>
        <w:tblPrEx>
          <w:tblCellMar>
            <w:top w:w="0" w:type="dxa"/>
            <w:left w:w="108" w:type="dxa"/>
            <w:bottom w:w="0" w:type="dxa"/>
            <w:right w:w="108" w:type="dxa"/>
          </w:tblCellMar>
        </w:tblPrEx>
        <w:trPr>
          <w:trHeight w:val="270" w:hRule="atLeast"/>
        </w:trPr>
        <w:tc>
          <w:tcPr>
            <w:tcW w:w="2040" w:type="dxa"/>
            <w:tcBorders>
              <w:top w:val="nil"/>
              <w:left w:val="single" w:color="auto" w:sz="4" w:space="0"/>
              <w:bottom w:val="single" w:color="auto" w:sz="4" w:space="0"/>
              <w:right w:val="single" w:color="auto" w:sz="4" w:space="0"/>
            </w:tcBorders>
            <w:noWrap/>
            <w:vAlign w:val="center"/>
          </w:tcPr>
          <w:p>
            <w:pPr>
              <w:keepLines/>
              <w:widowControl w:val="0"/>
              <w:adjustRightInd/>
              <w:snapToGrid/>
              <w:spacing w:after="0"/>
              <w:ind w:firstLine="360" w:firstLineChars="150"/>
              <w:jc w:val="both"/>
              <w:rPr>
                <w:rFonts w:asciiTheme="minorEastAsia" w:hAnsiTheme="minorEastAsia" w:eastAsiaTheme="minorEastAsia"/>
                <w:sz w:val="24"/>
                <w:szCs w:val="24"/>
              </w:rPr>
            </w:pPr>
            <w:r>
              <w:rPr>
                <w:rFonts w:hint="eastAsia" w:asciiTheme="minorEastAsia" w:hAnsiTheme="minorEastAsia" w:eastAsiaTheme="minorEastAsia"/>
                <w:sz w:val="24"/>
                <w:szCs w:val="24"/>
              </w:rPr>
              <w:t>售后服务</w:t>
            </w:r>
          </w:p>
        </w:tc>
        <w:tc>
          <w:tcPr>
            <w:tcW w:w="6197" w:type="dxa"/>
            <w:tcBorders>
              <w:top w:val="nil"/>
              <w:left w:val="nil"/>
              <w:bottom w:val="single" w:color="auto" w:sz="4" w:space="0"/>
              <w:right w:val="single" w:color="auto" w:sz="4" w:space="0"/>
            </w:tcBorders>
            <w:noWrap/>
            <w:vAlign w:val="bottom"/>
          </w:tcPr>
          <w:p>
            <w:pPr>
              <w:keepLines/>
              <w:widowControl w:val="0"/>
              <w:adjustRightInd/>
              <w:snapToGrid/>
              <w:spacing w:after="0"/>
              <w:ind w:firstLine="360" w:firstLineChars="150"/>
              <w:jc w:val="both"/>
              <w:rPr>
                <w:rFonts w:asciiTheme="minorEastAsia" w:hAnsiTheme="minorEastAsia" w:eastAsiaTheme="minorEastAsia"/>
                <w:sz w:val="24"/>
                <w:szCs w:val="24"/>
              </w:rPr>
            </w:pPr>
            <w:r>
              <w:rPr>
                <w:rFonts w:hint="eastAsia" w:asciiTheme="minorEastAsia" w:hAnsiTheme="minorEastAsia" w:eastAsiaTheme="minorEastAsia"/>
                <w:sz w:val="24"/>
                <w:szCs w:val="24"/>
              </w:rPr>
              <w:t>所有软硬件在保期间，中标单位需每月定时来我单位整体巡检（或驻场服务）。</w:t>
            </w:r>
          </w:p>
        </w:tc>
      </w:tr>
      <w:tr>
        <w:tblPrEx>
          <w:tblCellMar>
            <w:top w:w="0" w:type="dxa"/>
            <w:left w:w="108" w:type="dxa"/>
            <w:bottom w:w="0" w:type="dxa"/>
            <w:right w:w="108" w:type="dxa"/>
          </w:tblCellMar>
        </w:tblPrEx>
        <w:trPr>
          <w:trHeight w:val="270" w:hRule="atLeast"/>
        </w:trPr>
        <w:tc>
          <w:tcPr>
            <w:tcW w:w="2040" w:type="dxa"/>
            <w:tcBorders>
              <w:top w:val="nil"/>
              <w:left w:val="single" w:color="auto" w:sz="4" w:space="0"/>
              <w:bottom w:val="single" w:color="auto" w:sz="4" w:space="0"/>
              <w:right w:val="single" w:color="auto" w:sz="4" w:space="0"/>
            </w:tcBorders>
            <w:noWrap/>
            <w:vAlign w:val="center"/>
          </w:tcPr>
          <w:p>
            <w:pPr>
              <w:keepLines/>
              <w:widowControl w:val="0"/>
              <w:adjustRightInd/>
              <w:snapToGrid/>
              <w:spacing w:after="0"/>
              <w:ind w:firstLine="360" w:firstLineChars="150"/>
              <w:jc w:val="both"/>
              <w:rPr>
                <w:rFonts w:asciiTheme="minorEastAsia" w:hAnsiTheme="minorEastAsia" w:eastAsiaTheme="minorEastAsia"/>
                <w:sz w:val="24"/>
                <w:szCs w:val="24"/>
              </w:rPr>
            </w:pPr>
            <w:r>
              <w:rPr>
                <w:rFonts w:hint="eastAsia" w:asciiTheme="minorEastAsia" w:hAnsiTheme="minorEastAsia" w:eastAsiaTheme="minorEastAsia"/>
                <w:sz w:val="24"/>
                <w:szCs w:val="24"/>
              </w:rPr>
              <w:t>培训</w:t>
            </w:r>
          </w:p>
        </w:tc>
        <w:tc>
          <w:tcPr>
            <w:tcW w:w="6197" w:type="dxa"/>
            <w:tcBorders>
              <w:top w:val="nil"/>
              <w:left w:val="nil"/>
              <w:bottom w:val="single" w:color="auto" w:sz="4" w:space="0"/>
              <w:right w:val="single" w:color="auto" w:sz="4" w:space="0"/>
            </w:tcBorders>
            <w:noWrap/>
            <w:vAlign w:val="bottom"/>
          </w:tcPr>
          <w:p>
            <w:pPr>
              <w:keepLines/>
              <w:widowControl w:val="0"/>
              <w:adjustRightInd/>
              <w:snapToGrid/>
              <w:spacing w:after="0"/>
              <w:ind w:firstLine="360" w:firstLineChars="150"/>
              <w:jc w:val="both"/>
              <w:rPr>
                <w:rFonts w:asciiTheme="minorEastAsia" w:hAnsiTheme="minorEastAsia" w:eastAsiaTheme="minorEastAsia"/>
                <w:sz w:val="24"/>
                <w:szCs w:val="24"/>
              </w:rPr>
            </w:pPr>
            <w:r>
              <w:rPr>
                <w:rFonts w:hint="eastAsia" w:asciiTheme="minorEastAsia" w:hAnsiTheme="minorEastAsia" w:eastAsiaTheme="minorEastAsia"/>
                <w:sz w:val="24"/>
                <w:szCs w:val="24"/>
              </w:rPr>
              <w:t>硬件设备制造厂家需提供不少于3次的7*24小时设备使用培训</w:t>
            </w:r>
          </w:p>
        </w:tc>
      </w:tr>
    </w:tbl>
    <w:p>
      <w:pPr>
        <w:keepLines/>
        <w:widowControl w:val="0"/>
        <w:adjustRightInd/>
        <w:snapToGrid/>
        <w:spacing w:after="0"/>
        <w:ind w:firstLine="360" w:firstLineChars="150"/>
        <w:jc w:val="both"/>
        <w:rPr>
          <w:rFonts w:hint="eastAsia" w:asciiTheme="minorEastAsia" w:hAnsiTheme="minorEastAsia" w:eastAsiaTheme="minorEastAsia"/>
          <w:sz w:val="24"/>
          <w:szCs w:val="24"/>
        </w:rPr>
      </w:pPr>
    </w:p>
    <w:p>
      <w:pPr>
        <w:keepLines/>
        <w:widowControl w:val="0"/>
        <w:adjustRightInd/>
        <w:snapToGrid/>
        <w:spacing w:after="0"/>
        <w:ind w:firstLine="360" w:firstLineChars="150"/>
        <w:jc w:val="both"/>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所有投标人须按照上述要求分项应答，如未按照上述要求分项应答，按响应无效处理。</w:t>
      </w:r>
    </w:p>
    <w:p>
      <w:pPr>
        <w:keepLines/>
        <w:widowControl w:val="0"/>
        <w:adjustRightInd/>
        <w:snapToGrid/>
        <w:spacing w:after="0"/>
        <w:ind w:firstLine="360" w:firstLineChars="150"/>
        <w:jc w:val="both"/>
        <w:rPr>
          <w:rFonts w:hint="eastAsia" w:asciiTheme="minorEastAsia" w:hAnsiTheme="minorEastAsia" w:eastAsiaTheme="minorEastAsia"/>
          <w:sz w:val="24"/>
          <w:szCs w:val="24"/>
          <w:lang w:val="en-US" w:eastAsia="zh-CN"/>
        </w:rPr>
      </w:pPr>
      <w:bookmarkStart w:id="21" w:name="_Toc107408685"/>
      <w:bookmarkStart w:id="22" w:name="_Toc511661042"/>
      <w:r>
        <w:rPr>
          <w:rFonts w:hint="eastAsia" w:asciiTheme="minorEastAsia" w:hAnsiTheme="minorEastAsia" w:eastAsiaTheme="minorEastAsia"/>
          <w:sz w:val="24"/>
          <w:szCs w:val="24"/>
          <w:lang w:val="en-US" w:eastAsia="zh-CN"/>
        </w:rPr>
        <w:t>四、技术情报和资料的保密要求</w:t>
      </w:r>
      <w:bookmarkEnd w:id="21"/>
      <w:bookmarkEnd w:id="22"/>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采购甲乙双方均对对方提供的技术情报和资料承担保密义务，如需公开或向第三方提供，需经对方同意。乙方在工作中获取的甲方提供的信息、资料、数字均应予以严格保密，乙方负责本项目的人员不得向任何单位和个人泄密。如因泄密造成后果的，乙方应承担全部法律的责任。乙方对甲方提供的信息资料等在完成合作后返还甲方。</w:t>
      </w:r>
    </w:p>
    <w:p>
      <w:pPr>
        <w:keepLines/>
        <w:widowControl w:val="0"/>
        <w:adjustRightInd/>
        <w:snapToGrid/>
        <w:spacing w:after="0"/>
        <w:ind w:firstLine="360" w:firstLineChars="1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不论本合同是否变更、解除、终止，本条款长期有效。</w:t>
      </w:r>
    </w:p>
    <w:p>
      <w:pPr>
        <w:keepLines/>
        <w:widowControl w:val="0"/>
        <w:adjustRightInd/>
        <w:snapToGrid/>
        <w:spacing w:after="0"/>
        <w:ind w:firstLine="360" w:firstLineChars="150"/>
        <w:jc w:val="both"/>
        <w:rPr>
          <w:rFonts w:asciiTheme="minorEastAsia" w:hAnsiTheme="minorEastAsia" w:eastAsiaTheme="minorEastAsia"/>
          <w:sz w:val="24"/>
          <w:szCs w:val="24"/>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2"/>
    <w:multiLevelType w:val="singleLevel"/>
    <w:tmpl w:val="FFFFFF82"/>
    <w:lvl w:ilvl="0" w:tentative="0">
      <w:start w:val="1"/>
      <w:numFmt w:val="bullet"/>
      <w:pStyle w:val="4"/>
      <w:lvlText w:val=""/>
      <w:lvlJc w:val="left"/>
      <w:pPr>
        <w:tabs>
          <w:tab w:val="left" w:pos="1200"/>
        </w:tabs>
        <w:ind w:left="1200" w:leftChars="400" w:hanging="360" w:hangingChars="20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NzI1ODVlMDk1ODg1MmFjZmVkNDE4ODNiMzAxODdhMWYifQ=="/>
  </w:docVars>
  <w:rsids>
    <w:rsidRoot w:val="00D31D50"/>
    <w:rsid w:val="00112AC8"/>
    <w:rsid w:val="00124E93"/>
    <w:rsid w:val="001302F6"/>
    <w:rsid w:val="00285E97"/>
    <w:rsid w:val="00323B43"/>
    <w:rsid w:val="003D37D8"/>
    <w:rsid w:val="00426133"/>
    <w:rsid w:val="004358AB"/>
    <w:rsid w:val="006441F7"/>
    <w:rsid w:val="006C3435"/>
    <w:rsid w:val="008B7726"/>
    <w:rsid w:val="009146CA"/>
    <w:rsid w:val="009B6EA1"/>
    <w:rsid w:val="00A124CC"/>
    <w:rsid w:val="00C0128F"/>
    <w:rsid w:val="00C33758"/>
    <w:rsid w:val="00D31D50"/>
    <w:rsid w:val="3C477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3">
    <w:name w:val="heading 1"/>
    <w:basedOn w:val="1"/>
    <w:next w:val="1"/>
    <w:link w:val="16"/>
    <w:qFormat/>
    <w:uiPriority w:val="0"/>
    <w:pPr>
      <w:keepNext/>
      <w:keepLines/>
      <w:widowControl w:val="0"/>
      <w:adjustRightInd/>
      <w:snapToGrid/>
      <w:spacing w:before="240" w:after="240"/>
      <w:ind w:left="100" w:leftChars="100" w:right="100" w:rightChars="100"/>
      <w:jc w:val="center"/>
      <w:outlineLvl w:val="0"/>
    </w:pPr>
    <w:rPr>
      <w:rFonts w:ascii="Calibri" w:hAnsi="Calibri" w:eastAsia="黑体" w:cs="Times New Roman"/>
      <w:bCs/>
      <w:kern w:val="44"/>
      <w:sz w:val="44"/>
      <w:szCs w:val="44"/>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List Bullet 3"/>
    <w:basedOn w:val="1"/>
    <w:semiHidden/>
    <w:unhideWhenUsed/>
    <w:qFormat/>
    <w:uiPriority w:val="99"/>
    <w:pPr>
      <w:numPr>
        <w:ilvl w:val="0"/>
        <w:numId w:val="1"/>
      </w:numPr>
      <w:contextualSpacing/>
    </w:pPr>
  </w:style>
  <w:style w:type="paragraph" w:styleId="5">
    <w:name w:val="Balloon Text"/>
    <w:basedOn w:val="1"/>
    <w:link w:val="13"/>
    <w:semiHidden/>
    <w:unhideWhenUsed/>
    <w:qFormat/>
    <w:uiPriority w:val="99"/>
    <w:pPr>
      <w:spacing w:after="0"/>
    </w:pPr>
    <w:rPr>
      <w:sz w:val="18"/>
      <w:szCs w:val="18"/>
    </w:rPr>
  </w:style>
  <w:style w:type="paragraph" w:styleId="6">
    <w:name w:val="footer"/>
    <w:basedOn w:val="1"/>
    <w:link w:val="15"/>
    <w:semiHidden/>
    <w:unhideWhenUsed/>
    <w:qFormat/>
    <w:uiPriority w:val="99"/>
    <w:pPr>
      <w:tabs>
        <w:tab w:val="center" w:pos="4153"/>
        <w:tab w:val="right" w:pos="8306"/>
      </w:tabs>
    </w:pPr>
    <w:rPr>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jc w:val="center"/>
    </w:pPr>
    <w:rPr>
      <w:sz w:val="18"/>
      <w:szCs w:val="18"/>
    </w:rPr>
  </w:style>
  <w:style w:type="paragraph" w:styleId="8">
    <w:name w:val="toc 4"/>
    <w:basedOn w:val="1"/>
    <w:next w:val="1"/>
    <w:semiHidden/>
    <w:unhideWhenUsed/>
    <w:qFormat/>
    <w:uiPriority w:val="39"/>
    <w:pPr>
      <w:ind w:left="1260" w:leftChars="600"/>
    </w:pPr>
  </w:style>
  <w:style w:type="paragraph" w:styleId="9">
    <w:name w:val="Normal (Web)"/>
    <w:basedOn w:val="1"/>
    <w:uiPriority w:val="0"/>
    <w:pPr>
      <w:adjustRightInd/>
      <w:snapToGrid/>
      <w:spacing w:before="100" w:beforeAutospacing="1" w:after="100" w:afterAutospacing="1" w:line="270" w:lineRule="atLeast"/>
    </w:pPr>
    <w:rPr>
      <w:rFonts w:ascii="Times New Roman" w:hAnsi="Times New Roman" w:eastAsia="宋体" w:cs="Times New Roman"/>
      <w:color w:val="333333"/>
      <w:sz w:val="18"/>
      <w:szCs w:val="18"/>
    </w:rPr>
  </w:style>
  <w:style w:type="table" w:styleId="11">
    <w:name w:val="Table Grid"/>
    <w:basedOn w:val="10"/>
    <w:qFormat/>
    <w:uiPriority w:val="59"/>
    <w:pPr>
      <w:widowControl w:val="0"/>
      <w:spacing w:after="0" w:line="240" w:lineRule="auto"/>
      <w:jc w:val="both"/>
    </w:pPr>
    <w:rPr>
      <w:rFonts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批注框文本 Char"/>
    <w:basedOn w:val="12"/>
    <w:link w:val="5"/>
    <w:semiHidden/>
    <w:qFormat/>
    <w:uiPriority w:val="99"/>
    <w:rPr>
      <w:rFonts w:ascii="Tahoma" w:hAnsi="Tahoma"/>
      <w:sz w:val="18"/>
      <w:szCs w:val="18"/>
    </w:rPr>
  </w:style>
  <w:style w:type="character" w:customStyle="1" w:styleId="14">
    <w:name w:val="页眉 Char"/>
    <w:basedOn w:val="12"/>
    <w:link w:val="7"/>
    <w:semiHidden/>
    <w:qFormat/>
    <w:uiPriority w:val="99"/>
    <w:rPr>
      <w:rFonts w:ascii="Tahoma" w:hAnsi="Tahoma"/>
      <w:sz w:val="18"/>
      <w:szCs w:val="18"/>
    </w:rPr>
  </w:style>
  <w:style w:type="character" w:customStyle="1" w:styleId="15">
    <w:name w:val="页脚 Char"/>
    <w:basedOn w:val="12"/>
    <w:link w:val="6"/>
    <w:semiHidden/>
    <w:qFormat/>
    <w:uiPriority w:val="99"/>
    <w:rPr>
      <w:rFonts w:ascii="Tahoma" w:hAnsi="Tahoma"/>
      <w:sz w:val="18"/>
      <w:szCs w:val="18"/>
    </w:rPr>
  </w:style>
  <w:style w:type="character" w:customStyle="1" w:styleId="16">
    <w:name w:val="标题 1 Char"/>
    <w:basedOn w:val="12"/>
    <w:link w:val="3"/>
    <w:qFormat/>
    <w:uiPriority w:val="0"/>
    <w:rPr>
      <w:rFonts w:ascii="Calibri" w:hAnsi="Calibri" w:eastAsia="黑体" w:cs="Times New Roman"/>
      <w:bCs/>
      <w:kern w:val="44"/>
      <w:sz w:val="44"/>
      <w:szCs w:val="44"/>
    </w:rPr>
  </w:style>
  <w:style w:type="paragraph" w:styleId="17">
    <w:name w:val="List Paragraph"/>
    <w:basedOn w:val="1"/>
    <w:next w:val="8"/>
    <w:link w:val="18"/>
    <w:qFormat/>
    <w:uiPriority w:val="34"/>
    <w:pPr>
      <w:widowControl w:val="0"/>
      <w:adjustRightInd/>
      <w:snapToGrid/>
      <w:spacing w:after="0"/>
      <w:ind w:firstLine="420" w:firstLineChars="200"/>
      <w:jc w:val="both"/>
    </w:pPr>
    <w:rPr>
      <w:rFonts w:ascii="Calibri" w:hAnsi="Calibri" w:eastAsia="宋体" w:cs="Times New Roman"/>
      <w:kern w:val="2"/>
      <w:sz w:val="21"/>
      <w:szCs w:val="24"/>
    </w:rPr>
  </w:style>
  <w:style w:type="character" w:customStyle="1" w:styleId="18">
    <w:name w:val="列出段落 Char"/>
    <w:link w:val="17"/>
    <w:qFormat/>
    <w:locked/>
    <w:uiPriority w:val="34"/>
    <w:rPr>
      <w:rFonts w:ascii="Calibri" w:hAnsi="Calibri" w:eastAsia="宋体" w:cs="Times New Roman"/>
      <w:kern w:val="2"/>
      <w:sz w:val="21"/>
      <w:szCs w:val="24"/>
    </w:rPr>
  </w:style>
  <w:style w:type="paragraph" w:customStyle="1" w:styleId="19">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710</Words>
  <Characters>909</Characters>
  <Lines>27</Lines>
  <Paragraphs>7</Paragraphs>
  <TotalTime>0</TotalTime>
  <ScaleCrop>false</ScaleCrop>
  <LinksUpToDate>false</LinksUpToDate>
  <CharactersWithSpaces>923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WPS_1642326638</cp:lastModifiedBy>
  <dcterms:modified xsi:type="dcterms:W3CDTF">2022-07-20T02:39:43Z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2C5292C055064677BD3E3E0FBF3FC865</vt:lpwstr>
  </property>
</Properties>
</file>