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0" w:after="0" w:line="240" w:lineRule="auto"/>
        <w:ind w:left="103" w:leftChars="49"/>
        <w:jc w:val="center"/>
        <w:rPr>
          <w:rFonts w:ascii="黑体" w:hAnsi="黑体" w:eastAsia="黑体" w:cs="黑体"/>
          <w:color w:val="000000"/>
        </w:rPr>
      </w:pPr>
      <w:bookmarkStart w:id="0" w:name="_Toc96437825"/>
      <w:r>
        <w:rPr>
          <w:rFonts w:hint="eastAsia" w:ascii="黑体" w:hAnsi="黑体" w:eastAsia="黑体" w:cs="黑体"/>
          <w:color w:val="000000"/>
        </w:rPr>
        <w:t>采购需求</w:t>
      </w:r>
      <w:bookmarkEnd w:id="0"/>
    </w:p>
    <w:p>
      <w:pPr>
        <w:spacing w:line="360" w:lineRule="auto"/>
        <w:ind w:firstLine="424" w:firstLineChars="177"/>
        <w:rPr>
          <w:rFonts w:cs="Calibri"/>
          <w:kern w:val="0"/>
          <w:sz w:val="24"/>
          <w:szCs w:val="20"/>
        </w:rPr>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27"/>
        <w:gridCol w:w="6414"/>
        <w:gridCol w:w="427"/>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 w:type="pct"/>
            <w:noWrap w:val="0"/>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520" w:type="pct"/>
            <w:noWrap w:val="0"/>
            <w:vAlign w:val="center"/>
          </w:tcPr>
          <w:p>
            <w:pPr>
              <w:jc w:val="center"/>
              <w:rPr>
                <w:rFonts w:ascii="宋体" w:hAnsi="宋体" w:cs="宋体"/>
                <w:b/>
                <w:bCs/>
                <w:color w:val="000000"/>
                <w:szCs w:val="21"/>
              </w:rPr>
            </w:pPr>
            <w:r>
              <w:rPr>
                <w:rFonts w:hint="eastAsia" w:ascii="宋体" w:hAnsi="宋体" w:cs="宋体"/>
                <w:b/>
                <w:bCs/>
                <w:color w:val="000000"/>
                <w:szCs w:val="21"/>
              </w:rPr>
              <w:t>名称</w:t>
            </w:r>
          </w:p>
        </w:tc>
        <w:tc>
          <w:tcPr>
            <w:tcW w:w="3797" w:type="pct"/>
            <w:noWrap w:val="0"/>
            <w:vAlign w:val="center"/>
          </w:tcPr>
          <w:p>
            <w:pPr>
              <w:jc w:val="center"/>
              <w:rPr>
                <w:rFonts w:ascii="宋体" w:hAnsi="宋体" w:cs="宋体"/>
                <w:b/>
                <w:bCs/>
                <w:color w:val="000000"/>
                <w:szCs w:val="21"/>
              </w:rPr>
            </w:pPr>
            <w:r>
              <w:rPr>
                <w:rFonts w:hint="eastAsia" w:ascii="宋体" w:hAnsi="宋体" w:cs="宋体"/>
                <w:b/>
                <w:bCs/>
                <w:color w:val="000000"/>
                <w:szCs w:val="21"/>
              </w:rPr>
              <w:t>技术参数</w:t>
            </w:r>
          </w:p>
        </w:tc>
        <w:tc>
          <w:tcPr>
            <w:tcW w:w="227" w:type="pct"/>
            <w:noWrap w:val="0"/>
            <w:vAlign w:val="center"/>
          </w:tcPr>
          <w:p>
            <w:pPr>
              <w:jc w:val="center"/>
              <w:rPr>
                <w:rFonts w:ascii="宋体" w:hAnsi="宋体" w:cs="宋体"/>
                <w:b/>
                <w:bCs/>
                <w:color w:val="000000"/>
                <w:szCs w:val="21"/>
              </w:rPr>
            </w:pPr>
            <w:r>
              <w:rPr>
                <w:rFonts w:hint="eastAsia" w:ascii="宋体" w:hAnsi="宋体" w:cs="宋体"/>
                <w:b/>
                <w:bCs/>
                <w:color w:val="000000"/>
                <w:szCs w:val="21"/>
              </w:rPr>
              <w:t>单位</w:t>
            </w:r>
          </w:p>
        </w:tc>
        <w:tc>
          <w:tcPr>
            <w:tcW w:w="227" w:type="pct"/>
            <w:noWrap w:val="0"/>
            <w:vAlign w:val="center"/>
          </w:tcPr>
          <w:p>
            <w:pPr>
              <w:jc w:val="center"/>
              <w:rPr>
                <w:rFonts w:ascii="宋体" w:hAnsi="宋体" w:cs="宋体"/>
                <w:b/>
                <w:bCs/>
                <w:color w:val="000000"/>
                <w:szCs w:val="21"/>
              </w:rPr>
            </w:pPr>
            <w:r>
              <w:rPr>
                <w:rFonts w:hint="eastAsia" w:ascii="宋体" w:hAnsi="宋体" w:cs="宋体"/>
                <w:b/>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2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1</w:t>
            </w:r>
          </w:p>
        </w:tc>
        <w:tc>
          <w:tcPr>
            <w:tcW w:w="52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服务器</w:t>
            </w:r>
          </w:p>
          <w:p>
            <w:pPr>
              <w:jc w:val="center"/>
              <w:rPr>
                <w:rFonts w:ascii="宋体" w:hAnsi="宋体" w:cs="宋体"/>
                <w:color w:val="000000"/>
                <w:szCs w:val="21"/>
              </w:rPr>
            </w:pPr>
          </w:p>
        </w:tc>
        <w:tc>
          <w:tcPr>
            <w:tcW w:w="3797" w:type="pct"/>
            <w:tcBorders>
              <w:top w:val="single" w:color="auto" w:sz="4" w:space="0"/>
              <w:left w:val="single" w:color="auto" w:sz="4" w:space="0"/>
              <w:bottom w:val="single" w:color="auto" w:sz="4" w:space="0"/>
              <w:right w:val="single" w:color="auto" w:sz="4" w:space="0"/>
            </w:tcBorders>
            <w:noWrap w:val="0"/>
            <w:vAlign w:val="center"/>
          </w:tcPr>
          <w:p>
            <w:pPr>
              <w:pStyle w:val="25"/>
              <w:numPr>
                <w:ilvl w:val="0"/>
                <w:numId w:val="2"/>
              </w:numPr>
              <w:spacing w:line="360" w:lineRule="auto"/>
              <w:ind w:firstLineChars="0"/>
              <w:jc w:val="left"/>
              <w:rPr>
                <w:rFonts w:ascii="宋体" w:hAnsi="宋体" w:cs="宋体"/>
                <w:color w:val="000000"/>
                <w:szCs w:val="21"/>
              </w:rPr>
            </w:pPr>
            <w:r>
              <w:rPr>
                <w:rFonts w:hint="eastAsia" w:ascii="宋体" w:hAnsi="宋体" w:cs="宋体"/>
                <w:color w:val="000000"/>
                <w:szCs w:val="21"/>
              </w:rPr>
              <w:t>2U机架式服务器，标配原厂导轨；</w:t>
            </w:r>
          </w:p>
          <w:p>
            <w:pPr>
              <w:pStyle w:val="25"/>
              <w:numPr>
                <w:ilvl w:val="0"/>
                <w:numId w:val="2"/>
              </w:numPr>
              <w:spacing w:line="360" w:lineRule="auto"/>
              <w:ind w:firstLineChars="0"/>
              <w:jc w:val="left"/>
              <w:rPr>
                <w:rFonts w:ascii="宋体" w:hAnsi="宋体" w:cs="宋体"/>
                <w:color w:val="000000"/>
                <w:szCs w:val="21"/>
              </w:rPr>
            </w:pPr>
            <w:r>
              <w:rPr>
                <w:rFonts w:hint="eastAsia" w:ascii="宋体" w:hAnsi="宋体" w:cs="宋体"/>
                <w:color w:val="000000"/>
                <w:szCs w:val="21"/>
              </w:rPr>
              <w:t>★≥4颗Intel Xeon  8160(2.1GHz/24核/33MB/150W) CPU；</w:t>
            </w:r>
          </w:p>
          <w:p>
            <w:pPr>
              <w:pStyle w:val="25"/>
              <w:numPr>
                <w:ilvl w:val="0"/>
                <w:numId w:val="2"/>
              </w:numPr>
              <w:spacing w:line="360" w:lineRule="auto"/>
              <w:ind w:firstLineChars="0"/>
              <w:jc w:val="left"/>
              <w:rPr>
                <w:rFonts w:ascii="宋体" w:hAnsi="宋体" w:cs="宋体"/>
                <w:color w:val="000000"/>
                <w:szCs w:val="21"/>
              </w:rPr>
            </w:pPr>
            <w:r>
              <w:rPr>
                <w:rFonts w:hint="eastAsia" w:ascii="宋体" w:hAnsi="宋体" w:cs="宋体"/>
                <w:color w:val="000000"/>
                <w:szCs w:val="21"/>
              </w:rPr>
              <w:t>★≥512GB DDR4内存，最大支持≥48个内存槽位；</w:t>
            </w:r>
          </w:p>
          <w:p>
            <w:pPr>
              <w:pStyle w:val="25"/>
              <w:numPr>
                <w:ilvl w:val="0"/>
                <w:numId w:val="2"/>
              </w:numPr>
              <w:spacing w:line="360" w:lineRule="auto"/>
              <w:ind w:firstLineChars="0"/>
              <w:jc w:val="left"/>
              <w:rPr>
                <w:rFonts w:ascii="宋体" w:hAnsi="宋体" w:cs="宋体"/>
                <w:color w:val="000000"/>
                <w:szCs w:val="21"/>
              </w:rPr>
            </w:pPr>
            <w:r>
              <w:rPr>
                <w:rFonts w:hint="eastAsia" w:ascii="宋体" w:hAnsi="宋体" w:cs="宋体"/>
                <w:color w:val="000000"/>
                <w:szCs w:val="21"/>
              </w:rPr>
              <w:t>★本次配置前置≥16个2.5寸硬盘槽位，本次配置≥8块1.92 T SSD硬盘，≥2块960 SSD硬盘</w:t>
            </w:r>
          </w:p>
          <w:p>
            <w:pPr>
              <w:pStyle w:val="25"/>
              <w:numPr>
                <w:ilvl w:val="0"/>
                <w:numId w:val="2"/>
              </w:numPr>
              <w:spacing w:line="360" w:lineRule="auto"/>
              <w:ind w:firstLineChars="0"/>
              <w:jc w:val="left"/>
              <w:rPr>
                <w:rFonts w:ascii="宋体" w:hAnsi="宋体" w:cs="宋体"/>
                <w:color w:val="000000"/>
                <w:szCs w:val="21"/>
              </w:rPr>
            </w:pPr>
            <w:r>
              <w:rPr>
                <w:rFonts w:hint="eastAsia" w:ascii="宋体" w:hAnsi="宋体" w:cs="宋体"/>
                <w:color w:val="000000"/>
                <w:szCs w:val="21"/>
              </w:rPr>
              <w:t>≥1个阵列卡，配置≥12Gbps SAS磁盘阵列控制器，支持不少于Raid0/1/10/5/50/6/60, Raid 1/10 。≥2GB缓存，支持缓存数据保护，且后备保护不受时间限制；可选≥8GB缓存Raid卡；</w:t>
            </w:r>
          </w:p>
          <w:p>
            <w:pPr>
              <w:pStyle w:val="25"/>
              <w:numPr>
                <w:ilvl w:val="0"/>
                <w:numId w:val="2"/>
              </w:numPr>
              <w:spacing w:line="360" w:lineRule="auto"/>
              <w:ind w:firstLineChars="0"/>
              <w:jc w:val="left"/>
              <w:rPr>
                <w:rFonts w:ascii="宋体" w:hAnsi="宋体" w:cs="宋体"/>
                <w:color w:val="000000"/>
                <w:szCs w:val="21"/>
              </w:rPr>
            </w:pPr>
            <w:r>
              <w:rPr>
                <w:rFonts w:hint="eastAsia" w:ascii="宋体" w:hAnsi="宋体" w:cs="宋体"/>
                <w:color w:val="000000"/>
                <w:szCs w:val="21"/>
              </w:rPr>
              <w:t>#≥6个PCI-e 3.0全高插槽，可扩展至≥10个标准PCI-e插槽，6个全高；提供官网地址和截图</w:t>
            </w:r>
          </w:p>
          <w:p>
            <w:pPr>
              <w:pStyle w:val="25"/>
              <w:numPr>
                <w:ilvl w:val="0"/>
                <w:numId w:val="2"/>
              </w:numPr>
              <w:spacing w:line="360" w:lineRule="auto"/>
              <w:ind w:firstLineChars="0"/>
              <w:jc w:val="left"/>
              <w:rPr>
                <w:rFonts w:ascii="宋体" w:hAnsi="宋体" w:cs="宋体"/>
                <w:color w:val="000000"/>
                <w:szCs w:val="21"/>
              </w:rPr>
            </w:pPr>
            <w:r>
              <w:rPr>
                <w:rFonts w:hint="eastAsia" w:ascii="宋体" w:hAnsi="宋体" w:cs="宋体"/>
                <w:color w:val="000000"/>
                <w:szCs w:val="21"/>
              </w:rPr>
              <w:t>#支持≥8个企业级单宽GPU。提供官网地址和截图；</w:t>
            </w:r>
          </w:p>
          <w:p>
            <w:pPr>
              <w:pStyle w:val="25"/>
              <w:numPr>
                <w:ilvl w:val="0"/>
                <w:numId w:val="2"/>
              </w:numPr>
              <w:spacing w:line="360" w:lineRule="auto"/>
              <w:ind w:firstLineChars="0"/>
              <w:jc w:val="left"/>
              <w:rPr>
                <w:rFonts w:ascii="宋体" w:hAnsi="宋体" w:cs="宋体"/>
                <w:color w:val="000000"/>
                <w:szCs w:val="21"/>
              </w:rPr>
            </w:pPr>
            <w:r>
              <w:rPr>
                <w:rFonts w:hint="eastAsia" w:ascii="宋体" w:hAnsi="宋体" w:cs="宋体"/>
                <w:color w:val="000000"/>
                <w:szCs w:val="21"/>
              </w:rPr>
              <w:t>配置千兆电口≥4，万兆光口≥2（含多模模块）；</w:t>
            </w:r>
          </w:p>
          <w:p>
            <w:pPr>
              <w:pStyle w:val="25"/>
              <w:numPr>
                <w:ilvl w:val="0"/>
                <w:numId w:val="2"/>
              </w:numPr>
              <w:spacing w:line="360" w:lineRule="auto"/>
              <w:ind w:firstLineChars="0"/>
              <w:jc w:val="left"/>
              <w:rPr>
                <w:rFonts w:ascii="宋体" w:hAnsi="宋体" w:cs="宋体"/>
                <w:color w:val="000000"/>
                <w:szCs w:val="21"/>
              </w:rPr>
            </w:pPr>
            <w:r>
              <w:rPr>
                <w:rFonts w:hint="eastAsia" w:ascii="宋体" w:hAnsi="宋体" w:cs="宋体"/>
                <w:color w:val="000000"/>
                <w:szCs w:val="21"/>
              </w:rPr>
              <w:t>实配2块≥1200W铂金版热插拔冗余电源；</w:t>
            </w:r>
          </w:p>
          <w:p>
            <w:pPr>
              <w:pStyle w:val="25"/>
              <w:numPr>
                <w:ilvl w:val="0"/>
                <w:numId w:val="2"/>
              </w:numPr>
              <w:spacing w:line="360" w:lineRule="auto"/>
              <w:ind w:firstLineChars="0"/>
              <w:jc w:val="left"/>
              <w:rPr>
                <w:rFonts w:ascii="宋体" w:hAnsi="宋体" w:cs="宋体"/>
                <w:color w:val="000000"/>
                <w:szCs w:val="21"/>
              </w:rPr>
            </w:pPr>
            <w:r>
              <w:rPr>
                <w:rFonts w:hint="eastAsia" w:ascii="宋体" w:hAnsi="宋体" w:cs="宋体"/>
                <w:color w:val="000000"/>
                <w:szCs w:val="21"/>
              </w:rPr>
              <w:t>配置≥1Gb独立的远程管理控制端口，配置虚拟KVM功能, 可实现与操作系统无关的远程对服务器的完全控制，包括远程的开机、关机、重启、更新Firmware、虚拟软驱、虚拟光驱等操作，提供服务器健康日记、服务器控制台录屏/回放功能，能够提供电源监控，可支持动态功率封顶。</w:t>
            </w:r>
          </w:p>
          <w:p>
            <w:pPr>
              <w:pStyle w:val="25"/>
              <w:numPr>
                <w:ilvl w:val="0"/>
                <w:numId w:val="2"/>
              </w:numPr>
              <w:spacing w:line="360" w:lineRule="auto"/>
              <w:ind w:firstLineChars="0"/>
              <w:jc w:val="left"/>
              <w:rPr>
                <w:rFonts w:ascii="宋体" w:hAnsi="宋体" w:cs="宋体"/>
                <w:color w:val="000000"/>
                <w:szCs w:val="21"/>
              </w:rPr>
            </w:pPr>
            <w:r>
              <w:rPr>
                <w:rFonts w:hint="eastAsia" w:ascii="宋体" w:hAnsi="宋体" w:cs="宋体"/>
                <w:color w:val="000000"/>
                <w:szCs w:val="21"/>
              </w:rPr>
              <w:t>#支持防火墙功能，支持黑名单和白名单，提供官方技术材料或官网截图</w:t>
            </w:r>
          </w:p>
          <w:p>
            <w:pPr>
              <w:pStyle w:val="25"/>
              <w:numPr>
                <w:ilvl w:val="0"/>
                <w:numId w:val="2"/>
              </w:numPr>
              <w:spacing w:line="360" w:lineRule="auto"/>
              <w:ind w:firstLineChars="0"/>
              <w:jc w:val="left"/>
              <w:rPr>
                <w:rFonts w:ascii="宋体" w:hAnsi="宋体" w:cs="宋体"/>
                <w:color w:val="000000"/>
                <w:szCs w:val="21"/>
              </w:rPr>
            </w:pPr>
            <w:r>
              <w:rPr>
                <w:rFonts w:hint="eastAsia" w:ascii="宋体" w:hAnsi="宋体" w:cs="宋体"/>
                <w:color w:val="000000"/>
                <w:szCs w:val="21"/>
              </w:rPr>
              <w:t>#支持联合管理，无需部署软件即可通过任意服务器管理口可同时管理多台服务器，支持基本状态信息查看和开关机操作，提供官方技术材料或官网截图</w:t>
            </w:r>
          </w:p>
          <w:p>
            <w:pPr>
              <w:pStyle w:val="25"/>
              <w:numPr>
                <w:ilvl w:val="0"/>
                <w:numId w:val="2"/>
              </w:numPr>
              <w:spacing w:line="360" w:lineRule="auto"/>
              <w:ind w:firstLineChars="0"/>
              <w:jc w:val="left"/>
              <w:rPr>
                <w:rFonts w:ascii="宋体" w:hAnsi="宋体" w:cs="宋体"/>
                <w:color w:val="000000"/>
                <w:szCs w:val="21"/>
              </w:rPr>
            </w:pPr>
            <w:r>
              <w:rPr>
                <w:rFonts w:hint="eastAsia" w:ascii="宋体" w:hAnsi="宋体" w:cs="宋体"/>
                <w:color w:val="000000"/>
                <w:szCs w:val="21"/>
              </w:rPr>
              <w:t>提供移动客户端管理APP，实现无线移动管理体验；</w:t>
            </w:r>
          </w:p>
          <w:p>
            <w:pPr>
              <w:pStyle w:val="25"/>
              <w:numPr>
                <w:ilvl w:val="0"/>
                <w:numId w:val="2"/>
              </w:numPr>
              <w:spacing w:line="360" w:lineRule="auto"/>
              <w:ind w:firstLineChars="0"/>
              <w:jc w:val="left"/>
              <w:rPr>
                <w:rFonts w:ascii="宋体" w:hAnsi="宋体" w:cs="宋体"/>
                <w:color w:val="000000"/>
                <w:szCs w:val="21"/>
              </w:rPr>
            </w:pPr>
            <w:r>
              <w:rPr>
                <w:rFonts w:hint="eastAsia" w:ascii="宋体" w:hAnsi="宋体" w:cs="宋体"/>
                <w:color w:val="000000"/>
                <w:szCs w:val="21"/>
              </w:rPr>
              <w:t>提供SNMP、SMTP、短信、微信、语音告警功能；</w:t>
            </w:r>
          </w:p>
          <w:p>
            <w:pPr>
              <w:pStyle w:val="25"/>
              <w:numPr>
                <w:ilvl w:val="0"/>
                <w:numId w:val="2"/>
              </w:numPr>
              <w:spacing w:line="360" w:lineRule="auto"/>
              <w:ind w:firstLineChars="0"/>
              <w:jc w:val="left"/>
              <w:rPr>
                <w:rFonts w:ascii="宋体" w:hAnsi="宋体" w:cs="宋体"/>
                <w:color w:val="000000"/>
                <w:szCs w:val="21"/>
              </w:rPr>
            </w:pPr>
            <w:r>
              <w:rPr>
                <w:rFonts w:hint="eastAsia" w:ascii="宋体" w:hAnsi="宋体" w:cs="宋体"/>
                <w:color w:val="000000"/>
                <w:szCs w:val="21"/>
              </w:rPr>
              <w:t>支持机箱入侵检测；</w:t>
            </w:r>
          </w:p>
          <w:p>
            <w:pPr>
              <w:pStyle w:val="25"/>
              <w:numPr>
                <w:ilvl w:val="0"/>
                <w:numId w:val="2"/>
              </w:numPr>
              <w:spacing w:line="360" w:lineRule="auto"/>
              <w:ind w:firstLineChars="0"/>
              <w:jc w:val="left"/>
              <w:rPr>
                <w:rFonts w:ascii="宋体" w:hAnsi="宋体" w:cs="宋体"/>
                <w:color w:val="000000"/>
                <w:szCs w:val="21"/>
              </w:rPr>
            </w:pPr>
            <w:r>
              <w:rPr>
                <w:rFonts w:hint="eastAsia" w:ascii="宋体" w:hAnsi="宋体" w:cs="宋体"/>
                <w:color w:val="000000"/>
                <w:szCs w:val="21"/>
              </w:rPr>
              <w:t>提供针对本项目的原厂授权函与售后服务承诺函。</w:t>
            </w:r>
          </w:p>
        </w:tc>
        <w:tc>
          <w:tcPr>
            <w:tcW w:w="22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台</w:t>
            </w:r>
          </w:p>
        </w:tc>
        <w:tc>
          <w:tcPr>
            <w:tcW w:w="22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2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2</w:t>
            </w:r>
          </w:p>
        </w:tc>
        <w:tc>
          <w:tcPr>
            <w:tcW w:w="52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支持去中心化服务的共识机制系统</w:t>
            </w:r>
          </w:p>
        </w:tc>
        <w:tc>
          <w:tcPr>
            <w:tcW w:w="3797" w:type="pct"/>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ind w:left="420" w:firstLine="0" w:firstLineChars="0"/>
              <w:jc w:val="left"/>
              <w:rPr>
                <w:rFonts w:ascii="宋体" w:hAnsi="宋体" w:cs="宋体"/>
                <w:szCs w:val="21"/>
              </w:rPr>
            </w:pPr>
            <w:r>
              <w:rPr>
                <w:rFonts w:hint="eastAsia" w:ascii="宋体" w:hAnsi="宋体" w:cs="宋体"/>
                <w:szCs w:val="21"/>
              </w:rPr>
              <w:t>支持去中心化服务的共识机制系统主要包括基础区块链管理和区块链客户端两部分。</w:t>
            </w:r>
          </w:p>
          <w:p>
            <w:pPr>
              <w:pStyle w:val="25"/>
              <w:numPr>
                <w:ilvl w:val="0"/>
                <w:numId w:val="3"/>
              </w:numPr>
              <w:spacing w:line="360" w:lineRule="auto"/>
              <w:ind w:firstLineChars="0"/>
              <w:jc w:val="left"/>
              <w:rPr>
                <w:rFonts w:hint="eastAsia" w:ascii="宋体" w:hAnsi="宋体" w:cs="宋体"/>
                <w:szCs w:val="21"/>
              </w:rPr>
            </w:pPr>
            <w:r>
              <w:rPr>
                <w:rFonts w:hint="eastAsia" w:ascii="宋体" w:hAnsi="宋体" w:cs="宋体"/>
                <w:szCs w:val="21"/>
              </w:rPr>
              <w:t>★基础区块链管理主要负责区块链上成员、协议、数据等相关内容的管理，实现去中心化事务的提交-审核-总结智能合约流程。</w:t>
            </w:r>
          </w:p>
          <w:p>
            <w:pPr>
              <w:pStyle w:val="25"/>
              <w:numPr>
                <w:ilvl w:val="0"/>
                <w:numId w:val="3"/>
              </w:numPr>
              <w:spacing w:line="360" w:lineRule="auto"/>
              <w:ind w:firstLineChars="0"/>
              <w:jc w:val="left"/>
              <w:rPr>
                <w:rFonts w:hint="eastAsia" w:ascii="宋体" w:hAnsi="宋体" w:cs="宋体"/>
                <w:szCs w:val="21"/>
              </w:rPr>
            </w:pPr>
            <w:r>
              <w:rPr>
                <w:rFonts w:hint="eastAsia" w:ascii="宋体" w:hAnsi="宋体" w:cs="宋体"/>
                <w:color w:val="000000"/>
                <w:szCs w:val="21"/>
              </w:rPr>
              <w:t>#</w:t>
            </w:r>
            <w:r>
              <w:rPr>
                <w:rFonts w:hint="eastAsia" w:ascii="宋体" w:hAnsi="宋体" w:cs="宋体"/>
                <w:szCs w:val="21"/>
              </w:rPr>
              <w:t>区块链系统支持成员管理功能，构成区块链的每个组织的管理员作为链上业务的管理员，管理员可在其自身的管理域内添加多种类型的组织成员；</w:t>
            </w:r>
          </w:p>
          <w:p>
            <w:pPr>
              <w:pStyle w:val="25"/>
              <w:numPr>
                <w:ilvl w:val="0"/>
                <w:numId w:val="3"/>
              </w:numPr>
              <w:spacing w:line="360" w:lineRule="auto"/>
              <w:ind w:firstLineChars="0"/>
              <w:jc w:val="left"/>
              <w:rPr>
                <w:rFonts w:hint="eastAsia" w:ascii="宋体" w:hAnsi="宋体" w:cs="宋体"/>
                <w:szCs w:val="21"/>
              </w:rPr>
            </w:pPr>
            <w:r>
              <w:rPr>
                <w:rFonts w:hint="eastAsia" w:ascii="宋体" w:hAnsi="宋体" w:cs="宋体"/>
                <w:color w:val="000000"/>
                <w:szCs w:val="21"/>
              </w:rPr>
              <w:t>#</w:t>
            </w:r>
            <w:r>
              <w:rPr>
                <w:rFonts w:hint="eastAsia" w:ascii="宋体" w:hAnsi="宋体" w:cs="宋体"/>
                <w:szCs w:val="21"/>
              </w:rPr>
              <w:t>支持协议管理功能，管理员可与组织成员建立关系合约，授予相应的组织成员更新管理域内特定种类数据的权力；</w:t>
            </w:r>
          </w:p>
          <w:p>
            <w:pPr>
              <w:pStyle w:val="25"/>
              <w:numPr>
                <w:ilvl w:val="0"/>
                <w:numId w:val="3"/>
              </w:numPr>
              <w:spacing w:line="360" w:lineRule="auto"/>
              <w:ind w:firstLineChars="0"/>
              <w:jc w:val="left"/>
              <w:rPr>
                <w:rFonts w:ascii="宋体" w:hAnsi="宋体" w:cs="宋体"/>
                <w:szCs w:val="21"/>
              </w:rPr>
            </w:pPr>
            <w:r>
              <w:rPr>
                <w:rFonts w:hint="eastAsia" w:ascii="宋体" w:hAnsi="宋体" w:cs="宋体"/>
                <w:color w:val="000000"/>
                <w:szCs w:val="21"/>
              </w:rPr>
              <w:t>#</w:t>
            </w:r>
            <w:r>
              <w:rPr>
                <w:rFonts w:hint="eastAsia" w:ascii="宋体" w:hAnsi="宋体" w:cs="宋体"/>
                <w:szCs w:val="21"/>
              </w:rPr>
              <w:t>支持数据管理功能，得到授权的组织成员可按照相应数据的管理流程实现数据的更新。</w:t>
            </w:r>
          </w:p>
          <w:p>
            <w:pPr>
              <w:pStyle w:val="25"/>
              <w:numPr>
                <w:ilvl w:val="0"/>
                <w:numId w:val="3"/>
              </w:numPr>
              <w:spacing w:line="360" w:lineRule="auto"/>
              <w:ind w:firstLineChars="0"/>
              <w:jc w:val="left"/>
              <w:rPr>
                <w:rFonts w:hint="eastAsia" w:ascii="宋体" w:hAnsi="宋体" w:cs="宋体"/>
                <w:szCs w:val="21"/>
              </w:rPr>
            </w:pPr>
            <w:r>
              <w:rPr>
                <w:rFonts w:hint="eastAsia" w:ascii="宋体" w:hAnsi="宋体" w:cs="宋体"/>
                <w:szCs w:val="21"/>
              </w:rPr>
              <w:t>★基区块链客户端主要负责提供图形化的区块链交互页面，实现区块链用户调用区块链功能和访问区块链数据，包括事务处理、事件监测和用户界面功能，其中事务处理和事件监测负责与区块链进行功能和数据上的交互，并为用户界面提供链上功能调用和数据展示。</w:t>
            </w:r>
          </w:p>
          <w:p>
            <w:pPr>
              <w:pStyle w:val="25"/>
              <w:numPr>
                <w:ilvl w:val="0"/>
                <w:numId w:val="3"/>
              </w:numPr>
              <w:spacing w:line="360" w:lineRule="auto"/>
              <w:ind w:firstLineChars="0"/>
              <w:jc w:val="left"/>
              <w:rPr>
                <w:rFonts w:hint="eastAsia" w:ascii="宋体" w:hAnsi="宋体" w:cs="宋体"/>
                <w:szCs w:val="21"/>
              </w:rPr>
            </w:pPr>
            <w:r>
              <w:rPr>
                <w:rFonts w:hint="eastAsia" w:ascii="宋体" w:hAnsi="宋体" w:cs="宋体"/>
                <w:szCs w:val="21"/>
              </w:rPr>
              <w:t>区块链客户端业务需求主要实现访问区块链数据和调用区块链功能的可视化客户端。</w:t>
            </w:r>
          </w:p>
          <w:p>
            <w:pPr>
              <w:pStyle w:val="25"/>
              <w:numPr>
                <w:ilvl w:val="0"/>
                <w:numId w:val="3"/>
              </w:numPr>
              <w:spacing w:line="360" w:lineRule="auto"/>
              <w:ind w:firstLineChars="0"/>
              <w:jc w:val="left"/>
              <w:rPr>
                <w:rFonts w:hint="eastAsia" w:ascii="宋体" w:hAnsi="宋体" w:cs="宋体"/>
                <w:szCs w:val="21"/>
              </w:rPr>
            </w:pPr>
            <w:r>
              <w:rPr>
                <w:rFonts w:hint="eastAsia" w:ascii="宋体" w:hAnsi="宋体" w:cs="宋体"/>
                <w:szCs w:val="21"/>
              </w:rPr>
              <w:t>客户端用户通过客户端调用区块链业务相关的事务；</w:t>
            </w:r>
          </w:p>
          <w:p>
            <w:pPr>
              <w:pStyle w:val="25"/>
              <w:numPr>
                <w:ilvl w:val="0"/>
                <w:numId w:val="3"/>
              </w:numPr>
              <w:spacing w:line="360" w:lineRule="auto"/>
              <w:ind w:firstLineChars="0"/>
              <w:jc w:val="left"/>
              <w:rPr>
                <w:rFonts w:hint="eastAsia" w:ascii="宋体" w:hAnsi="宋体" w:cs="宋体"/>
                <w:szCs w:val="21"/>
              </w:rPr>
            </w:pPr>
            <w:r>
              <w:rPr>
                <w:rFonts w:hint="eastAsia" w:ascii="宋体" w:hAnsi="宋体" w:cs="宋体"/>
                <w:color w:val="000000"/>
                <w:szCs w:val="21"/>
              </w:rPr>
              <w:t>#</w:t>
            </w:r>
            <w:r>
              <w:rPr>
                <w:rFonts w:hint="eastAsia" w:ascii="宋体" w:hAnsi="宋体" w:cs="宋体"/>
                <w:szCs w:val="21"/>
              </w:rPr>
              <w:t>客户端根据用户输入的参数访问区块链系统进行事务调用，并监测事务运行情况；</w:t>
            </w:r>
          </w:p>
          <w:p>
            <w:pPr>
              <w:pStyle w:val="25"/>
              <w:numPr>
                <w:ilvl w:val="0"/>
                <w:numId w:val="3"/>
              </w:numPr>
              <w:spacing w:line="360" w:lineRule="auto"/>
              <w:ind w:firstLineChars="0"/>
              <w:jc w:val="left"/>
              <w:rPr>
                <w:rFonts w:ascii="宋体" w:hAnsi="宋体" w:cs="宋体"/>
                <w:szCs w:val="21"/>
              </w:rPr>
            </w:pPr>
            <w:r>
              <w:rPr>
                <w:rFonts w:hint="eastAsia" w:ascii="宋体" w:hAnsi="宋体" w:cs="宋体"/>
                <w:color w:val="000000"/>
                <w:szCs w:val="21"/>
              </w:rPr>
              <w:t>#</w:t>
            </w:r>
            <w:r>
              <w:rPr>
                <w:rFonts w:hint="eastAsia" w:ascii="宋体" w:hAnsi="宋体" w:cs="宋体"/>
                <w:szCs w:val="21"/>
              </w:rPr>
              <w:t>用户在客户端访问事务运行状况，并在事务运行成功后获得运行结果。</w:t>
            </w:r>
          </w:p>
        </w:tc>
        <w:tc>
          <w:tcPr>
            <w:tcW w:w="22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套</w:t>
            </w:r>
          </w:p>
        </w:tc>
        <w:tc>
          <w:tcPr>
            <w:tcW w:w="22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1</w:t>
            </w:r>
          </w:p>
        </w:tc>
      </w:tr>
    </w:tbl>
    <w:p>
      <w:pPr>
        <w:pStyle w:val="2"/>
      </w:pPr>
    </w:p>
    <w:p>
      <w:pPr>
        <w:pStyle w:val="2"/>
      </w:pPr>
    </w:p>
    <w:p>
      <w:pPr>
        <w:pStyle w:val="2"/>
      </w:pPr>
    </w:p>
    <w:p>
      <w:pPr>
        <w:pStyle w:val="2"/>
      </w:pPr>
    </w:p>
    <w:p>
      <w:pPr>
        <w:pStyle w:val="2"/>
      </w:pPr>
    </w:p>
    <w:p>
      <w:pPr>
        <w:numPr>
          <w:ilvl w:val="0"/>
          <w:numId w:val="4"/>
        </w:numPr>
        <w:jc w:val="left"/>
        <w:rPr>
          <w:rFonts w:hint="eastAsia" w:ascii="方正书宋简体" w:hAnsi="宋体" w:eastAsia="方正书宋简体"/>
          <w:b/>
          <w:szCs w:val="21"/>
        </w:rPr>
      </w:pPr>
      <w:bookmarkStart w:id="1" w:name="_GoBack"/>
      <w:bookmarkEnd w:id="1"/>
      <w:r>
        <w:rPr>
          <w:rFonts w:hint="eastAsia" w:ascii="方正书宋简体" w:hAnsi="宋体" w:eastAsia="方正书宋简体"/>
          <w:b/>
          <w:szCs w:val="21"/>
        </w:rPr>
        <w:t>售后及其他服务要求</w:t>
      </w:r>
    </w:p>
    <w:p>
      <w:r>
        <w:rPr>
          <w:rFonts w:hint="eastAsia" w:ascii="宋体" w:hAnsi="宋体" w:cs="宋体"/>
          <w:color w:val="000000"/>
          <w:szCs w:val="21"/>
        </w:rPr>
        <w:t>质保期3年，售后提供7*24小时远程技术支持及技术咨询服务。如采购方设备出现问题，中标方自接到招标方通知后5分钟内电话响应； 4小时内赶到甲方故障现场，2小时内将故障排除。</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方正书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multilevel"/>
    <w:tmpl w:val="00000022"/>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decimal"/>
      <w:pStyle w:val="5"/>
      <w:lvlText w:val="%3."/>
      <w:lvlJc w:val="right"/>
      <w:pPr>
        <w:ind w:left="0" w:firstLine="0"/>
      </w:pPr>
      <w:rPr>
        <w:rFonts w:hint="eastAsia"/>
      </w:rPr>
    </w:lvl>
    <w:lvl w:ilvl="3" w:tentative="0">
      <w:start w:val="1"/>
      <w:numFmt w:val="decimal"/>
      <w:lvlText w:val="1.%4."/>
      <w:lvlJc w:val="right"/>
      <w:pPr>
        <w:ind w:left="0" w:firstLine="0"/>
      </w:pPr>
      <w:rPr>
        <w:rFonts w:hint="eastAsia"/>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1DD77D3C"/>
    <w:multiLevelType w:val="multilevel"/>
    <w:tmpl w:val="1DD77D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3F37AC7"/>
    <w:multiLevelType w:val="multilevel"/>
    <w:tmpl w:val="73F37AC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F106D3"/>
    <w:multiLevelType w:val="multilevel"/>
    <w:tmpl w:val="7CF106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0MjY2OWI4YjlhZTdhZjNhODg5NDQ2MjQyOTRhNTIifQ=="/>
  </w:docVars>
  <w:rsids>
    <w:rsidRoot w:val="00D75BEC"/>
    <w:rsid w:val="004521F3"/>
    <w:rsid w:val="00495663"/>
    <w:rsid w:val="004E7315"/>
    <w:rsid w:val="006E6708"/>
    <w:rsid w:val="00864675"/>
    <w:rsid w:val="00D75BEC"/>
    <w:rsid w:val="073F18B0"/>
    <w:rsid w:val="16A31AE7"/>
    <w:rsid w:val="1A2D3422"/>
    <w:rsid w:val="220D2CF0"/>
    <w:rsid w:val="221A4D49"/>
    <w:rsid w:val="28DE559B"/>
    <w:rsid w:val="2EC2666F"/>
    <w:rsid w:val="321D3448"/>
    <w:rsid w:val="36F52F5D"/>
    <w:rsid w:val="40BE3E26"/>
    <w:rsid w:val="48A00216"/>
    <w:rsid w:val="5895711B"/>
    <w:rsid w:val="5D7F698B"/>
    <w:rsid w:val="5E7D6FE8"/>
    <w:rsid w:val="61560803"/>
    <w:rsid w:val="68CA04B1"/>
    <w:rsid w:val="74632EFA"/>
    <w:rsid w:val="75E5618F"/>
    <w:rsid w:val="78C1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rFonts w:ascii="Calibri" w:hAnsi="Calibri"/>
      <w:b/>
      <w:bCs/>
      <w:kern w:val="44"/>
      <w:sz w:val="44"/>
      <w:szCs w:val="44"/>
    </w:rPr>
  </w:style>
  <w:style w:type="paragraph" w:styleId="4">
    <w:name w:val="heading 2"/>
    <w:basedOn w:val="1"/>
    <w:next w:val="1"/>
    <w:qFormat/>
    <w:uiPriority w:val="9"/>
    <w:pPr>
      <w:keepNext/>
      <w:keepLines/>
      <w:outlineLvl w:val="1"/>
    </w:pPr>
    <w:rPr>
      <w:rFonts w:ascii="Arial" w:hAnsi="Arial" w:eastAsia="黑体"/>
      <w:bCs/>
      <w:sz w:val="28"/>
      <w:szCs w:val="32"/>
    </w:rPr>
  </w:style>
  <w:style w:type="paragraph" w:styleId="5">
    <w:name w:val="heading 3"/>
    <w:basedOn w:val="1"/>
    <w:next w:val="1"/>
    <w:qFormat/>
    <w:uiPriority w:val="0"/>
    <w:pPr>
      <w:keepNext/>
      <w:keepLines/>
      <w:numPr>
        <w:ilvl w:val="2"/>
        <w:numId w:val="1"/>
      </w:numPr>
      <w:spacing w:before="260" w:after="260" w:line="413" w:lineRule="auto"/>
      <w:outlineLvl w:val="2"/>
    </w:pPr>
    <w:rPr>
      <w:rFonts w:ascii="Calibri" w:hAnsi="Calibri"/>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rFonts w:ascii="Calibri" w:hAnsi="Calibri"/>
      <w:sz w:val="24"/>
      <w:szCs w:val="20"/>
    </w:rPr>
  </w:style>
  <w:style w:type="paragraph" w:styleId="6">
    <w:name w:val="Body Text"/>
    <w:basedOn w:val="1"/>
    <w:qFormat/>
    <w:uiPriority w:val="0"/>
    <w:pPr>
      <w:widowControl/>
      <w:jc w:val="left"/>
    </w:pPr>
    <w:rPr>
      <w:rFonts w:ascii="宋体" w:hAnsi="宋体"/>
      <w:b/>
      <w:bCs/>
      <w:sz w:val="24"/>
      <w:szCs w:val="20"/>
    </w:rPr>
  </w:style>
  <w:style w:type="paragraph" w:styleId="7">
    <w:name w:val="Body Text Indent"/>
    <w:basedOn w:val="1"/>
    <w:qFormat/>
    <w:uiPriority w:val="0"/>
    <w:pPr>
      <w:spacing w:after="120"/>
      <w:ind w:left="420" w:leftChars="200"/>
    </w:pPr>
  </w:style>
  <w:style w:type="paragraph" w:styleId="8">
    <w:name w:val="Plain Text"/>
    <w:basedOn w:val="1"/>
    <w:next w:val="9"/>
    <w:qFormat/>
    <w:uiPriority w:val="0"/>
    <w:rPr>
      <w:rFonts w:ascii="宋体"/>
      <w:kern w:val="0"/>
      <w:szCs w:val="20"/>
    </w:rPr>
  </w:style>
  <w:style w:type="paragraph" w:styleId="9">
    <w:name w:val="Intense Quote"/>
    <w:basedOn w:val="1"/>
    <w:next w:val="1"/>
    <w:unhideWhenUsed/>
    <w:qFormat/>
    <w:uiPriority w:val="99"/>
    <w:pPr>
      <w:pBdr>
        <w:bottom w:val="single" w:color="4F81BD" w:sz="4" w:space="4"/>
      </w:pBdr>
      <w:spacing w:before="200" w:after="280"/>
      <w:ind w:left="936" w:right="936"/>
    </w:pPr>
    <w:rPr>
      <w:b/>
      <w:bCs/>
      <w:i/>
      <w:iCs/>
      <w:color w:val="4F81BD"/>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6"/>
    <w:qFormat/>
    <w:uiPriority w:val="0"/>
    <w:pPr>
      <w:spacing w:line="312" w:lineRule="auto"/>
      <w:ind w:firstLine="420"/>
    </w:pPr>
    <w:rPr>
      <w:rFonts w:ascii="Times New Roman" w:hAnsi="Times New Roman"/>
      <w:szCs w:val="24"/>
    </w:rPr>
  </w:style>
  <w:style w:type="paragraph" w:styleId="14">
    <w:name w:val="Body Text First Indent 2"/>
    <w:basedOn w:val="7"/>
    <w:next w:val="6"/>
    <w:qFormat/>
    <w:uiPriority w:val="0"/>
    <w:pPr>
      <w:ind w:firstLine="420" w:firstLineChars="200"/>
    </w:pPr>
  </w:style>
  <w:style w:type="character" w:styleId="17">
    <w:name w:val="FollowedHyperlink"/>
    <w:basedOn w:val="16"/>
    <w:qFormat/>
    <w:uiPriority w:val="0"/>
    <w:rPr>
      <w:color w:val="800080"/>
      <w:u w:val="single"/>
    </w:rPr>
  </w:style>
  <w:style w:type="paragraph" w:customStyle="1" w:styleId="18">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列出段落1"/>
    <w:basedOn w:val="1"/>
    <w:qFormat/>
    <w:uiPriority w:val="0"/>
    <w:pPr>
      <w:ind w:firstLine="420" w:firstLineChars="200"/>
    </w:pPr>
  </w:style>
  <w:style w:type="paragraph" w:customStyle="1" w:styleId="21">
    <w:name w:val="列出段落2"/>
    <w:basedOn w:val="1"/>
    <w:unhideWhenUsed/>
    <w:qFormat/>
    <w:uiPriority w:val="99"/>
    <w:pPr>
      <w:ind w:firstLine="420" w:firstLineChars="200"/>
    </w:pPr>
  </w:style>
  <w:style w:type="paragraph" w:customStyle="1" w:styleId="22">
    <w:name w:val="单位"/>
    <w:basedOn w:val="1"/>
    <w:qFormat/>
    <w:uiPriority w:val="0"/>
    <w:pPr>
      <w:tabs>
        <w:tab w:val="left" w:pos="6300"/>
      </w:tabs>
      <w:spacing w:line="528" w:lineRule="exact"/>
      <w:jc w:val="center"/>
    </w:pPr>
    <w:rPr>
      <w:rFonts w:ascii="等线" w:hAnsi="等线" w:eastAsia="楷体_GB2312"/>
      <w:sz w:val="30"/>
      <w:szCs w:val="30"/>
    </w:rPr>
  </w:style>
  <w:style w:type="paragraph" w:styleId="23">
    <w:name w:val="List Paragraph"/>
    <w:basedOn w:val="1"/>
    <w:qFormat/>
    <w:uiPriority w:val="34"/>
    <w:pPr>
      <w:ind w:firstLine="420" w:firstLineChars="200"/>
    </w:pPr>
  </w:style>
  <w:style w:type="paragraph" w:customStyle="1" w:styleId="24">
    <w:name w:val="样式46"/>
    <w:basedOn w:val="1"/>
    <w:qFormat/>
    <w:uiPriority w:val="0"/>
    <w:pPr>
      <w:widowControl/>
      <w:adjustRightInd w:val="0"/>
      <w:spacing w:line="360" w:lineRule="auto"/>
      <w:ind w:firstLine="480" w:firstLineChars="200"/>
      <w:jc w:val="left"/>
      <w:textAlignment w:val="baseline"/>
    </w:pPr>
    <w:rPr>
      <w:rFonts w:ascii="Book Antiqua" w:hAnsi="Book Antiqua"/>
      <w:kern w:val="0"/>
      <w:sz w:val="24"/>
    </w:rPr>
  </w:style>
  <w:style w:type="paragraph" w:customStyle="1" w:styleId="25">
    <w:name w:val="列出段落3"/>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709</Words>
  <Characters>742</Characters>
  <Lines>1</Lines>
  <Paragraphs>1</Paragraphs>
  <TotalTime>0</TotalTime>
  <ScaleCrop>false</ScaleCrop>
  <LinksUpToDate>false</LinksUpToDate>
  <CharactersWithSpaces>745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2020-07-21T01:30:00Z</dcterms:created>
  <dc:creator>Administrator.PC-20151222GRIG</dc:creator>
  <cp:lastModifiedBy>zhuailei1314</cp:lastModifiedBy>
  <dcterms:modified xsi:type="dcterms:W3CDTF">2022-11-11T03:03:32Z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C5402D6E1224408FA53A7CB31657F867</vt:lpwstr>
  </property>
</Properties>
</file>