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B9" w:rsidRPr="005B44B9" w:rsidRDefault="005B44B9" w:rsidP="005B44B9">
      <w:pPr>
        <w:keepNext/>
        <w:keepLines/>
        <w:ind w:leftChars="49" w:left="103"/>
        <w:jc w:val="center"/>
        <w:outlineLvl w:val="0"/>
        <w:rPr>
          <w:rFonts w:ascii="Calibri" w:hAnsi="Calibri"/>
          <w:b/>
          <w:bCs/>
          <w:kern w:val="44"/>
          <w:sz w:val="44"/>
          <w:szCs w:val="44"/>
        </w:rPr>
      </w:pPr>
      <w:bookmarkStart w:id="0" w:name="_Toc96437825"/>
      <w:r w:rsidRPr="005B44B9">
        <w:rPr>
          <w:rFonts w:ascii="黑体" w:eastAsia="黑体" w:hAnsi="黑体" w:cs="黑体" w:hint="eastAsia"/>
          <w:b/>
          <w:bCs/>
          <w:kern w:val="0"/>
          <w:sz w:val="44"/>
          <w:szCs w:val="20"/>
        </w:rPr>
        <w:t>采购</w:t>
      </w:r>
      <w:r w:rsidRPr="005B44B9">
        <w:rPr>
          <w:rFonts w:ascii="黑体" w:eastAsia="黑体" w:hAnsi="黑体" w:cs="黑体" w:hint="eastAsia"/>
          <w:b/>
          <w:bCs/>
          <w:kern w:val="44"/>
          <w:sz w:val="44"/>
          <w:szCs w:val="44"/>
        </w:rPr>
        <w:t>需求</w:t>
      </w:r>
      <w:bookmarkEnd w:id="0"/>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一、整体课程定位</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1.1</w:t>
      </w:r>
      <w:r w:rsidRPr="005B44B9">
        <w:rPr>
          <w:rFonts w:cs="Calibri" w:hint="eastAsia"/>
          <w:kern w:val="0"/>
          <w:sz w:val="24"/>
          <w:szCs w:val="20"/>
        </w:rPr>
        <w:t>课程包含典型工程的勘查、选址、虚拟建造、伪装、评估、修建六大模块的虚拟仿真教学课程。系统能够通过虚拟仿真技术还原典型工程的建造过程，将教学过程中看不全、看不到、太危险、太隐蔽的内容进行仿真还原，使学生可安全的、全面的进行实验过程的学习。</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1.2</w:t>
      </w:r>
      <w:r w:rsidRPr="005B44B9">
        <w:rPr>
          <w:rFonts w:cs="Calibri" w:hint="eastAsia"/>
          <w:kern w:val="0"/>
          <w:sz w:val="24"/>
          <w:szCs w:val="20"/>
        </w:rPr>
        <w:t>仿真课程软件系统性能：模型搭建贴图分辨率不低于约</w:t>
      </w:r>
      <w:r w:rsidRPr="005B44B9">
        <w:rPr>
          <w:rFonts w:cs="Calibri" w:hint="eastAsia"/>
          <w:kern w:val="0"/>
          <w:sz w:val="24"/>
          <w:szCs w:val="20"/>
        </w:rPr>
        <w:t>1024 *1024</w:t>
      </w:r>
      <w:r w:rsidRPr="005B44B9">
        <w:rPr>
          <w:rFonts w:cs="Calibri" w:hint="eastAsia"/>
          <w:kern w:val="0"/>
          <w:sz w:val="24"/>
          <w:szCs w:val="20"/>
        </w:rPr>
        <w:t>，软件采用</w:t>
      </w:r>
      <w:r w:rsidRPr="005B44B9">
        <w:rPr>
          <w:rFonts w:cs="Calibri" w:hint="eastAsia"/>
          <w:kern w:val="0"/>
          <w:sz w:val="24"/>
          <w:szCs w:val="20"/>
        </w:rPr>
        <w:t xml:space="preserve"> GPU </w:t>
      </w:r>
      <w:r w:rsidRPr="005B44B9">
        <w:rPr>
          <w:rFonts w:cs="Calibri" w:hint="eastAsia"/>
          <w:kern w:val="0"/>
          <w:sz w:val="24"/>
          <w:szCs w:val="20"/>
        </w:rPr>
        <w:t>实时渲染技术，全屏模式，软件运行时的平均</w:t>
      </w:r>
      <w:r w:rsidRPr="005B44B9">
        <w:rPr>
          <w:rFonts w:cs="Calibri" w:hint="eastAsia"/>
          <w:kern w:val="0"/>
          <w:sz w:val="24"/>
          <w:szCs w:val="20"/>
        </w:rPr>
        <w:t xml:space="preserve"> FPS </w:t>
      </w:r>
      <w:r w:rsidRPr="005B44B9">
        <w:rPr>
          <w:rFonts w:cs="Calibri" w:hint="eastAsia"/>
          <w:kern w:val="0"/>
          <w:sz w:val="24"/>
          <w:szCs w:val="20"/>
        </w:rPr>
        <w:t>不低于</w:t>
      </w:r>
      <w:r w:rsidRPr="005B44B9">
        <w:rPr>
          <w:rFonts w:cs="Calibri" w:hint="eastAsia"/>
          <w:kern w:val="0"/>
          <w:sz w:val="24"/>
          <w:szCs w:val="20"/>
        </w:rPr>
        <w:t xml:space="preserve"> 30</w:t>
      </w:r>
      <w:r w:rsidRPr="005B44B9">
        <w:rPr>
          <w:rFonts w:cs="Calibri" w:hint="eastAsia"/>
          <w:kern w:val="0"/>
          <w:sz w:val="24"/>
          <w:szCs w:val="20"/>
        </w:rPr>
        <w:t>。</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1.3</w:t>
      </w:r>
      <w:r w:rsidRPr="005B44B9">
        <w:rPr>
          <w:rFonts w:cs="Calibri" w:hint="eastAsia"/>
          <w:kern w:val="0"/>
          <w:sz w:val="24"/>
          <w:szCs w:val="20"/>
        </w:rPr>
        <w:t>具备仿真漫游功能，学员可以自由选择观察的设备对象。通过不同功能模块的设置，可以学习设备介绍，并且可以触发设备介绍窗口。</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二、智能勘查虚拟仿真课程包含以下功能和内容：</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2.1</w:t>
      </w:r>
      <w:r w:rsidRPr="005B44B9">
        <w:rPr>
          <w:rFonts w:cs="Calibri" w:hint="eastAsia"/>
          <w:kern w:val="0"/>
          <w:sz w:val="24"/>
          <w:szCs w:val="20"/>
        </w:rPr>
        <w:t>三维虚拟场景及模型：</w:t>
      </w:r>
      <w:r w:rsidRPr="005B44B9">
        <w:rPr>
          <w:rFonts w:cs="Calibri" w:hint="eastAsia"/>
          <w:kern w:val="0"/>
          <w:sz w:val="24"/>
          <w:szCs w:val="20"/>
        </w:rPr>
        <w:t>3D</w:t>
      </w:r>
      <w:r w:rsidRPr="005B44B9">
        <w:rPr>
          <w:rFonts w:cs="Calibri" w:hint="eastAsia"/>
          <w:kern w:val="0"/>
          <w:sz w:val="24"/>
          <w:szCs w:val="20"/>
        </w:rPr>
        <w:t>场景及设备逼真，三维虚拟场景根据教学需求进行搭建，根据真实的地形地貌为参考等搭建虚拟三维场景，根据选定的型号搭建设备三维模型。设备包含</w:t>
      </w:r>
      <w:r w:rsidRPr="005B44B9">
        <w:rPr>
          <w:rFonts w:cs="Calibri" w:hint="eastAsia"/>
          <w:kern w:val="0"/>
          <w:sz w:val="24"/>
          <w:szCs w:val="20"/>
        </w:rPr>
        <w:t>DJI M300 RTK</w:t>
      </w:r>
      <w:r w:rsidRPr="005B44B9">
        <w:rPr>
          <w:rFonts w:cs="Calibri" w:hint="eastAsia"/>
          <w:kern w:val="0"/>
          <w:sz w:val="24"/>
          <w:szCs w:val="20"/>
        </w:rPr>
        <w:t>无人机、无人机遥控器、笔记本电脑等。</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#2.2</w:t>
      </w:r>
      <w:r w:rsidRPr="005B44B9">
        <w:rPr>
          <w:rFonts w:cs="Calibri" w:hint="eastAsia"/>
          <w:kern w:val="0"/>
          <w:sz w:val="24"/>
          <w:szCs w:val="20"/>
        </w:rPr>
        <w:t>能够通过软件课程掌握无人机地形勘察的基本知识，了解无人机在地形勘察应用中的主要运用技术和操作逻辑。可以观察无人机的结构，了解无人机的主要组成部分。</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2.3</w:t>
      </w:r>
      <w:r w:rsidRPr="005B44B9">
        <w:rPr>
          <w:rFonts w:cs="Calibri" w:hint="eastAsia"/>
          <w:kern w:val="0"/>
          <w:sz w:val="24"/>
          <w:szCs w:val="20"/>
        </w:rPr>
        <w:t>使学生能够初步认识无人机在航拍测绘领域的应用以及其运用所具备的重要意义，培养学生的逻辑思维能力和严谨的而科学态度。</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#2.4</w:t>
      </w:r>
      <w:r w:rsidRPr="005B44B9">
        <w:rPr>
          <w:rFonts w:cs="Calibri" w:hint="eastAsia"/>
          <w:kern w:val="0"/>
          <w:sz w:val="24"/>
          <w:szCs w:val="20"/>
        </w:rPr>
        <w:t>软件能够以海外岛屿为实验案例，模拟需要进行测绘的地块。应允许选择不少于两个的地块作为测绘区域，并且通过数据处理可以得到对应地块的信息。地块的地形地貌等环境应参考真实环境做出差异。</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2.5</w:t>
      </w:r>
      <w:r w:rsidRPr="005B44B9">
        <w:rPr>
          <w:rFonts w:cs="Calibri" w:hint="eastAsia"/>
          <w:kern w:val="0"/>
          <w:sz w:val="24"/>
          <w:szCs w:val="20"/>
        </w:rPr>
        <w:t>进入</w:t>
      </w:r>
      <w:r w:rsidRPr="005B44B9">
        <w:rPr>
          <w:rFonts w:cs="Calibri" w:hint="eastAsia"/>
          <w:kern w:val="0"/>
          <w:sz w:val="24"/>
          <w:szCs w:val="20"/>
        </w:rPr>
        <w:t>3D</w:t>
      </w:r>
      <w:r w:rsidRPr="005B44B9">
        <w:rPr>
          <w:rFonts w:cs="Calibri" w:hint="eastAsia"/>
          <w:kern w:val="0"/>
          <w:sz w:val="24"/>
          <w:szCs w:val="20"/>
        </w:rPr>
        <w:t>实验室界面，可以从场景中寻找必要的物品，拖动正确物品即可触发后续动作。在操作中提示正确操作的方式，及时使学生了解当前步骤的主要目标。</w:t>
      </w:r>
    </w:p>
    <w:p w:rsidR="005B44B9" w:rsidRPr="005B44B9" w:rsidRDefault="005B44B9" w:rsidP="005B44B9">
      <w:pPr>
        <w:spacing w:line="360" w:lineRule="auto"/>
        <w:ind w:firstLineChars="177" w:firstLine="425"/>
        <w:rPr>
          <w:rFonts w:cs="Calibri"/>
          <w:kern w:val="0"/>
          <w:sz w:val="24"/>
          <w:szCs w:val="20"/>
        </w:rPr>
      </w:pPr>
      <w:r w:rsidRPr="005B44B9">
        <w:rPr>
          <w:rFonts w:ascii="宋体" w:hAnsi="宋体" w:cs="宋体" w:hint="eastAsia"/>
          <w:kern w:val="0"/>
          <w:sz w:val="24"/>
          <w:szCs w:val="20"/>
        </w:rPr>
        <w:t>●</w:t>
      </w:r>
      <w:r w:rsidRPr="005B44B9">
        <w:rPr>
          <w:rFonts w:cs="Calibri" w:hint="eastAsia"/>
          <w:kern w:val="0"/>
          <w:sz w:val="24"/>
          <w:szCs w:val="20"/>
        </w:rPr>
        <w:t>2.6</w:t>
      </w:r>
      <w:r w:rsidRPr="005B44B9">
        <w:rPr>
          <w:rFonts w:cs="Calibri" w:hint="eastAsia"/>
          <w:kern w:val="0"/>
          <w:sz w:val="24"/>
          <w:szCs w:val="20"/>
        </w:rPr>
        <w:t>允许学生进行无人机的自主航线规划和自主无人机飞行。通过较为自由的无人机操作，提高无人机技术实践应用能力。自主航线规划应包含创建航线任务、执行航线任务的内容，并且允许学生切换无人机视角还是漫游视角。无人机自主飞行应参考真实的摇杆操作模式，用键盘模拟无人机摇杆。【须提供演示视频】</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2.7</w:t>
      </w:r>
      <w:r w:rsidRPr="005B44B9">
        <w:rPr>
          <w:rFonts w:cs="Calibri" w:hint="eastAsia"/>
          <w:kern w:val="0"/>
          <w:sz w:val="24"/>
          <w:szCs w:val="20"/>
        </w:rPr>
        <w:t>实验应内置行业应用级的视频引导，满足直接对行业级运用的理解需求。</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2.8</w:t>
      </w:r>
      <w:r w:rsidRPr="005B44B9">
        <w:rPr>
          <w:rFonts w:cs="Calibri" w:hint="eastAsia"/>
          <w:kern w:val="0"/>
          <w:sz w:val="24"/>
          <w:szCs w:val="20"/>
        </w:rPr>
        <w:t>实验中操作步骤包括但是不限于无人机飞行任务设置、无人机组装、无人机飞行任务执行、数据处理。</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#2.9</w:t>
      </w:r>
      <w:r w:rsidRPr="005B44B9">
        <w:rPr>
          <w:rFonts w:cs="Calibri" w:hint="eastAsia"/>
          <w:kern w:val="0"/>
          <w:sz w:val="24"/>
          <w:szCs w:val="20"/>
        </w:rPr>
        <w:t>实验中无人机所获得的数据应分为平面摄影与倾斜摄影，经过处理得到实拍地图或重建地形。实拍地图与三维模型应参考行业应用级软件的呈现形式。</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2.10</w:t>
      </w:r>
      <w:r w:rsidRPr="005B44B9">
        <w:rPr>
          <w:rFonts w:cs="Calibri" w:hint="eastAsia"/>
          <w:kern w:val="0"/>
          <w:sz w:val="24"/>
          <w:szCs w:val="20"/>
        </w:rPr>
        <w:t>数据处理应展现数据导入过程，并可以操作体验数据处理的操作如像控点刺点。</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2.11</w:t>
      </w:r>
      <w:r w:rsidRPr="005B44B9">
        <w:rPr>
          <w:rFonts w:cs="Calibri" w:hint="eastAsia"/>
          <w:kern w:val="0"/>
          <w:sz w:val="24"/>
          <w:szCs w:val="20"/>
        </w:rPr>
        <w:t>实时仿真实验操作结果可视化展现，能模拟出设备操作后得出的实验结果。</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2.12</w:t>
      </w:r>
      <w:r w:rsidRPr="005B44B9">
        <w:rPr>
          <w:rFonts w:cs="Calibri" w:hint="eastAsia"/>
          <w:kern w:val="0"/>
          <w:sz w:val="24"/>
          <w:szCs w:val="20"/>
        </w:rPr>
        <w:t>交互操作与功能：可实现页面的交互调整、通过设备及键盘操作可实现对设备的模拟操作。</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三、智能勘查虚拟仿真课程包含以下功能和内容：</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#3.1</w:t>
      </w:r>
      <w:r w:rsidRPr="005B44B9">
        <w:rPr>
          <w:rFonts w:cs="Calibri" w:hint="eastAsia"/>
          <w:kern w:val="0"/>
          <w:sz w:val="24"/>
          <w:szCs w:val="20"/>
        </w:rPr>
        <w:t>三维虚拟场景及模型：</w:t>
      </w:r>
      <w:r w:rsidRPr="005B44B9">
        <w:rPr>
          <w:rFonts w:cs="Calibri" w:hint="eastAsia"/>
          <w:kern w:val="0"/>
          <w:sz w:val="24"/>
          <w:szCs w:val="20"/>
        </w:rPr>
        <w:t>3D</w:t>
      </w:r>
      <w:r w:rsidRPr="005B44B9">
        <w:rPr>
          <w:rFonts w:cs="Calibri" w:hint="eastAsia"/>
          <w:kern w:val="0"/>
          <w:sz w:val="24"/>
          <w:szCs w:val="20"/>
        </w:rPr>
        <w:t>场景及设备逼真，三维虚拟场景根据教学需求进行搭建，根据真实的地形地貌为参考等搭建虚拟三维场景，根据选定的型号搭建设备三维模型。设备包含地质钻机、钻塔、动力机、泥浆泵、轻型动力触探仪、重型动力触探仪等。</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3.2</w:t>
      </w:r>
      <w:r w:rsidRPr="005B44B9">
        <w:rPr>
          <w:rFonts w:cs="Calibri" w:hint="eastAsia"/>
          <w:kern w:val="0"/>
          <w:sz w:val="24"/>
          <w:szCs w:val="20"/>
        </w:rPr>
        <w:t>使学生能够通过该软件掌握地质勘察的基本知识，了解如钻机与动力触探仪在地质勘察应用中的主要使用方法和操作逻辑。</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#3.3</w:t>
      </w:r>
      <w:r w:rsidRPr="005B44B9">
        <w:rPr>
          <w:rFonts w:cs="Calibri" w:hint="eastAsia"/>
          <w:kern w:val="0"/>
          <w:sz w:val="24"/>
          <w:szCs w:val="20"/>
        </w:rPr>
        <w:t>课程实验应包含对地质勘察全流程的介绍，让学生可以充分理解地质勘察的意义与需求，并了解各阶段的主要目标和主要实现途径。内容应包含对实验地环境的介绍认知、对地质勘察目标的介绍、对具体实验的目的介绍等。</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#3.4</w:t>
      </w:r>
      <w:r w:rsidRPr="005B44B9">
        <w:rPr>
          <w:rFonts w:cs="Calibri" w:hint="eastAsia"/>
          <w:kern w:val="0"/>
          <w:sz w:val="24"/>
          <w:szCs w:val="20"/>
        </w:rPr>
        <w:t>进入</w:t>
      </w:r>
      <w:r w:rsidRPr="005B44B9">
        <w:rPr>
          <w:rFonts w:cs="Calibri" w:hint="eastAsia"/>
          <w:kern w:val="0"/>
          <w:sz w:val="24"/>
          <w:szCs w:val="20"/>
        </w:rPr>
        <w:t>3D</w:t>
      </w:r>
      <w:r w:rsidRPr="005B44B9">
        <w:rPr>
          <w:rFonts w:cs="Calibri" w:hint="eastAsia"/>
          <w:kern w:val="0"/>
          <w:sz w:val="24"/>
          <w:szCs w:val="20"/>
        </w:rPr>
        <w:t>实验室界面，可以从场景中寻找必要的物品，操作即可触发对应动作。在操作中提示正确操作的方式，及时使学生了解当前步骤的主要目标。</w:t>
      </w:r>
    </w:p>
    <w:p w:rsidR="005B44B9" w:rsidRPr="005B44B9" w:rsidRDefault="005B44B9" w:rsidP="005B44B9">
      <w:pPr>
        <w:spacing w:line="360" w:lineRule="auto"/>
        <w:ind w:firstLineChars="177" w:firstLine="425"/>
        <w:rPr>
          <w:rFonts w:cs="Calibri"/>
          <w:kern w:val="0"/>
          <w:sz w:val="24"/>
          <w:szCs w:val="20"/>
        </w:rPr>
      </w:pPr>
      <w:r w:rsidRPr="005B44B9">
        <w:rPr>
          <w:rFonts w:ascii="宋体" w:hAnsi="宋体" w:cs="宋体" w:hint="eastAsia"/>
          <w:kern w:val="0"/>
          <w:sz w:val="24"/>
          <w:szCs w:val="20"/>
        </w:rPr>
        <w:t>●</w:t>
      </w:r>
      <w:r w:rsidRPr="005B44B9">
        <w:rPr>
          <w:rFonts w:cs="Calibri" w:hint="eastAsia"/>
          <w:kern w:val="0"/>
          <w:sz w:val="24"/>
          <w:szCs w:val="20"/>
        </w:rPr>
        <w:t>3.5</w:t>
      </w:r>
      <w:r w:rsidRPr="005B44B9">
        <w:rPr>
          <w:rFonts w:cs="Calibri" w:hint="eastAsia"/>
          <w:kern w:val="0"/>
          <w:sz w:val="24"/>
          <w:szCs w:val="20"/>
        </w:rPr>
        <w:t>实验中应包含最少两个交互学习模块，内容包括但不限于：</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1</w:t>
      </w:r>
      <w:r w:rsidRPr="005B44B9">
        <w:rPr>
          <w:rFonts w:cs="Calibri" w:hint="eastAsia"/>
          <w:kern w:val="0"/>
          <w:sz w:val="24"/>
          <w:szCs w:val="20"/>
        </w:rPr>
        <w:t>）钻机钻探</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包含对钻孔的设置、对钻探场景的认知和钻机基本操作。钻机应尽可以可能贴近真实地操作。钻机在下钻后应当可以填写记录，还原真实的钻探需求</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2</w:t>
      </w:r>
      <w:r w:rsidRPr="005B44B9">
        <w:rPr>
          <w:rFonts w:cs="Calibri" w:hint="eastAsia"/>
          <w:kern w:val="0"/>
          <w:sz w:val="24"/>
          <w:szCs w:val="20"/>
        </w:rPr>
        <w:t>）动力触探</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允许选择不少于</w:t>
      </w:r>
      <w:r w:rsidRPr="005B44B9">
        <w:rPr>
          <w:rFonts w:cs="Calibri" w:hint="eastAsia"/>
          <w:kern w:val="0"/>
          <w:sz w:val="24"/>
          <w:szCs w:val="20"/>
        </w:rPr>
        <w:t>6</w:t>
      </w:r>
      <w:r w:rsidRPr="005B44B9">
        <w:rPr>
          <w:rFonts w:cs="Calibri" w:hint="eastAsia"/>
          <w:kern w:val="0"/>
          <w:sz w:val="24"/>
          <w:szCs w:val="20"/>
        </w:rPr>
        <w:t>种的土层。根据选择的土层可选择轻型动力触探仪或重型动力触探仪。进行动力触探实验并记录相关数据。【须提供演示视频】</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3.6</w:t>
      </w:r>
      <w:r w:rsidRPr="005B44B9">
        <w:rPr>
          <w:rFonts w:cs="Calibri" w:hint="eastAsia"/>
          <w:kern w:val="0"/>
          <w:sz w:val="24"/>
          <w:szCs w:val="20"/>
        </w:rPr>
        <w:t>实时仿真实验操作结果可视化展现，能模拟出设备操作后得出的实验结果。</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3.7</w:t>
      </w:r>
      <w:r w:rsidRPr="005B44B9">
        <w:rPr>
          <w:rFonts w:cs="Calibri" w:hint="eastAsia"/>
          <w:kern w:val="0"/>
          <w:sz w:val="24"/>
          <w:szCs w:val="20"/>
        </w:rPr>
        <w:t>交互操作与功能：可实现页面的交互调整、通过设备及键盘操作可实现对设备的模拟操作。</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3.8</w:t>
      </w:r>
      <w:r w:rsidRPr="005B44B9">
        <w:rPr>
          <w:rFonts w:cs="Calibri" w:hint="eastAsia"/>
          <w:kern w:val="0"/>
          <w:sz w:val="24"/>
          <w:szCs w:val="20"/>
        </w:rPr>
        <w:t>具备智能考核评分系统，能根据学生的实验操作，在后台进行记录并给出分项得分。</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四、课程中虚拟建造内容应至少包含以下内容</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4.1</w:t>
      </w:r>
      <w:r w:rsidRPr="005B44B9">
        <w:rPr>
          <w:rFonts w:cs="Calibri" w:hint="eastAsia"/>
          <w:kern w:val="0"/>
          <w:sz w:val="24"/>
          <w:szCs w:val="20"/>
        </w:rPr>
        <w:t>包含建筑工程的土方工程施工、地基和基础施工、砌体工程施工、钢筋混凝土结构施工、结构安装工程施工、装配式混凝土结构施工、路基工程施工、典型桥梁工程施工的虚拟仿真动画。</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4.2</w:t>
      </w:r>
      <w:r w:rsidRPr="005B44B9">
        <w:rPr>
          <w:rFonts w:cs="Calibri" w:hint="eastAsia"/>
          <w:kern w:val="0"/>
          <w:sz w:val="24"/>
          <w:szCs w:val="20"/>
        </w:rPr>
        <w:t>针对</w:t>
      </w:r>
      <w:r w:rsidRPr="005B44B9">
        <w:rPr>
          <w:rFonts w:cs="Calibri" w:hint="eastAsia"/>
          <w:kern w:val="0"/>
          <w:sz w:val="24"/>
          <w:szCs w:val="20"/>
        </w:rPr>
        <w:t>4.1</w:t>
      </w:r>
      <w:r w:rsidRPr="005B44B9">
        <w:rPr>
          <w:rFonts w:cs="Calibri" w:hint="eastAsia"/>
          <w:kern w:val="0"/>
          <w:sz w:val="24"/>
          <w:szCs w:val="20"/>
        </w:rPr>
        <w:t>中的内容，其中虚拟仿真动画微课数量不少于</w:t>
      </w:r>
      <w:r w:rsidRPr="005B44B9">
        <w:rPr>
          <w:rFonts w:cs="Calibri" w:hint="eastAsia"/>
          <w:kern w:val="0"/>
          <w:sz w:val="24"/>
          <w:szCs w:val="20"/>
        </w:rPr>
        <w:t>30</w:t>
      </w:r>
      <w:r w:rsidRPr="005B44B9">
        <w:rPr>
          <w:rFonts w:cs="Calibri" w:hint="eastAsia"/>
          <w:kern w:val="0"/>
          <w:sz w:val="24"/>
          <w:szCs w:val="20"/>
        </w:rPr>
        <w:t>个。</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4.3</w:t>
      </w:r>
      <w:r w:rsidRPr="005B44B9">
        <w:rPr>
          <w:rFonts w:cs="Calibri" w:hint="eastAsia"/>
          <w:kern w:val="0"/>
          <w:sz w:val="24"/>
          <w:szCs w:val="20"/>
        </w:rPr>
        <w:t>支持虚拟仿真交互操作，虚拟仿真交互操作可直接通过互联网网页端直接打开，无须安装到本地。交互操作包含但不限于工具选择、位置选择、材料选择、答题、流程模拟、三维漫游交互等功能</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4.4</w:t>
      </w:r>
      <w:r w:rsidRPr="005B44B9">
        <w:rPr>
          <w:rFonts w:cs="Calibri" w:hint="eastAsia"/>
          <w:kern w:val="0"/>
          <w:sz w:val="24"/>
          <w:szCs w:val="20"/>
        </w:rPr>
        <w:t>课程包含典型建筑工程的建筑和结构节点，数量不少于</w:t>
      </w:r>
      <w:r w:rsidRPr="005B44B9">
        <w:rPr>
          <w:rFonts w:cs="Calibri" w:hint="eastAsia"/>
          <w:kern w:val="0"/>
          <w:sz w:val="24"/>
          <w:szCs w:val="20"/>
        </w:rPr>
        <w:t>40</w:t>
      </w:r>
      <w:r w:rsidRPr="005B44B9">
        <w:rPr>
          <w:rFonts w:cs="Calibri" w:hint="eastAsia"/>
          <w:kern w:val="0"/>
          <w:sz w:val="24"/>
          <w:szCs w:val="20"/>
        </w:rPr>
        <w:t>个。</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4.5</w:t>
      </w:r>
      <w:r w:rsidRPr="005B44B9">
        <w:rPr>
          <w:rFonts w:cs="Calibri" w:hint="eastAsia"/>
          <w:kern w:val="0"/>
          <w:sz w:val="24"/>
          <w:szCs w:val="20"/>
        </w:rPr>
        <w:t>针对</w:t>
      </w:r>
      <w:r w:rsidRPr="005B44B9">
        <w:rPr>
          <w:rFonts w:cs="Calibri" w:hint="eastAsia"/>
          <w:kern w:val="0"/>
          <w:sz w:val="24"/>
          <w:szCs w:val="20"/>
        </w:rPr>
        <w:t>4.4</w:t>
      </w:r>
      <w:r w:rsidRPr="005B44B9">
        <w:rPr>
          <w:rFonts w:cs="Calibri" w:hint="eastAsia"/>
          <w:kern w:val="0"/>
          <w:sz w:val="24"/>
          <w:szCs w:val="20"/>
        </w:rPr>
        <w:t>条中典型的建筑结构节点可通过</w:t>
      </w:r>
      <w:r w:rsidRPr="005B44B9">
        <w:rPr>
          <w:rFonts w:cs="Calibri" w:hint="eastAsia"/>
          <w:kern w:val="0"/>
          <w:sz w:val="24"/>
          <w:szCs w:val="20"/>
        </w:rPr>
        <w:t>BIM</w:t>
      </w:r>
      <w:r w:rsidRPr="005B44B9">
        <w:rPr>
          <w:rFonts w:cs="Calibri" w:hint="eastAsia"/>
          <w:kern w:val="0"/>
          <w:sz w:val="24"/>
          <w:szCs w:val="20"/>
        </w:rPr>
        <w:t>模型的形式进行呈现，其中</w:t>
      </w:r>
      <w:r w:rsidRPr="005B44B9">
        <w:rPr>
          <w:rFonts w:cs="Calibri" w:hint="eastAsia"/>
          <w:kern w:val="0"/>
          <w:sz w:val="24"/>
          <w:szCs w:val="20"/>
        </w:rPr>
        <w:t>BIM</w:t>
      </w:r>
      <w:r w:rsidRPr="005B44B9">
        <w:rPr>
          <w:rFonts w:cs="Calibri" w:hint="eastAsia"/>
          <w:kern w:val="0"/>
          <w:sz w:val="24"/>
          <w:szCs w:val="20"/>
        </w:rPr>
        <w:t>模型支持在复杂环境工程建设虚拟仿真平台网页端直接打开，并进行交互。交互功能必须包含但不限于暂停</w:t>
      </w:r>
      <w:r w:rsidRPr="005B44B9">
        <w:rPr>
          <w:rFonts w:cs="Calibri" w:hint="eastAsia"/>
          <w:kern w:val="0"/>
          <w:sz w:val="24"/>
          <w:szCs w:val="20"/>
        </w:rPr>
        <w:t>/</w:t>
      </w:r>
      <w:r w:rsidRPr="005B44B9">
        <w:rPr>
          <w:rFonts w:cs="Calibri" w:hint="eastAsia"/>
          <w:kern w:val="0"/>
          <w:sz w:val="24"/>
          <w:szCs w:val="20"/>
        </w:rPr>
        <w:t>继续三维旋转、长度测量、标高测量、轴向剖切、拾取面剖切、剖切盒剖切、交互设置、效果设置、全屏播放等功能。</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售后及其他服务要求</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售后服务</w:t>
      </w:r>
    </w:p>
    <w:p w:rsidR="005B44B9" w:rsidRPr="005B44B9" w:rsidRDefault="005B44B9" w:rsidP="005B44B9">
      <w:pPr>
        <w:spacing w:line="360" w:lineRule="auto"/>
        <w:ind w:firstLineChars="100" w:firstLine="240"/>
        <w:rPr>
          <w:rFonts w:cs="Calibri"/>
          <w:kern w:val="0"/>
          <w:sz w:val="24"/>
          <w:szCs w:val="20"/>
        </w:rPr>
      </w:pPr>
      <w:r w:rsidRPr="005B44B9">
        <w:rPr>
          <w:rFonts w:cs="Calibri" w:hint="eastAsia"/>
          <w:kern w:val="0"/>
          <w:sz w:val="24"/>
          <w:szCs w:val="20"/>
        </w:rPr>
        <w:t>（一）供应商</w:t>
      </w:r>
      <w:r w:rsidRPr="005B44B9">
        <w:rPr>
          <w:rFonts w:cs="Calibri"/>
          <w:kern w:val="0"/>
          <w:sz w:val="24"/>
          <w:szCs w:val="20"/>
        </w:rPr>
        <w:t>对所提供的产品在质量保修期内，因产品质量而导致的缺陷，必须免费提供包修、包换、包退服务，在</w:t>
      </w:r>
      <w:r w:rsidRPr="005B44B9">
        <w:rPr>
          <w:rFonts w:cs="Calibri"/>
          <w:kern w:val="0"/>
          <w:sz w:val="24"/>
          <w:szCs w:val="20"/>
        </w:rPr>
        <w:t>“</w:t>
      </w:r>
      <w:r w:rsidRPr="005B44B9">
        <w:rPr>
          <w:rFonts w:cs="Calibri"/>
          <w:kern w:val="0"/>
          <w:sz w:val="24"/>
          <w:szCs w:val="20"/>
        </w:rPr>
        <w:t>三包</w:t>
      </w:r>
      <w:r w:rsidRPr="005B44B9">
        <w:rPr>
          <w:rFonts w:cs="Calibri"/>
          <w:kern w:val="0"/>
          <w:sz w:val="24"/>
          <w:szCs w:val="20"/>
        </w:rPr>
        <w:t>”</w:t>
      </w:r>
      <w:r w:rsidRPr="005B44B9">
        <w:rPr>
          <w:rFonts w:cs="Calibri"/>
          <w:kern w:val="0"/>
          <w:sz w:val="24"/>
          <w:szCs w:val="20"/>
        </w:rPr>
        <w:t>范围内免费提供该产品的技术培训和技术支持。</w:t>
      </w:r>
    </w:p>
    <w:p w:rsidR="005B44B9" w:rsidRPr="005B44B9" w:rsidRDefault="005B44B9" w:rsidP="005B44B9">
      <w:pPr>
        <w:tabs>
          <w:tab w:val="left" w:pos="3420"/>
        </w:tabs>
        <w:spacing w:line="360" w:lineRule="exact"/>
        <w:rPr>
          <w:rFonts w:cs="Calibri"/>
          <w:b/>
          <w:kern w:val="0"/>
          <w:sz w:val="24"/>
          <w:szCs w:val="20"/>
        </w:rPr>
      </w:pPr>
      <w:r w:rsidRPr="005B44B9">
        <w:rPr>
          <w:rFonts w:cs="Calibri"/>
          <w:b/>
          <w:kern w:val="0"/>
          <w:sz w:val="24"/>
          <w:szCs w:val="20"/>
        </w:rPr>
        <w:t>提醒注意：</w:t>
      </w:r>
    </w:p>
    <w:p w:rsidR="005B44B9" w:rsidRPr="005B44B9" w:rsidRDefault="005B44B9" w:rsidP="005B44B9">
      <w:pPr>
        <w:tabs>
          <w:tab w:val="left" w:pos="3420"/>
        </w:tabs>
        <w:spacing w:line="360" w:lineRule="exact"/>
        <w:ind w:firstLineChars="58" w:firstLine="139"/>
        <w:rPr>
          <w:rFonts w:cs="Calibri"/>
          <w:kern w:val="0"/>
          <w:sz w:val="24"/>
          <w:szCs w:val="20"/>
        </w:rPr>
      </w:pPr>
      <w:r w:rsidRPr="005B44B9">
        <w:rPr>
          <w:rFonts w:cs="Calibri"/>
          <w:kern w:val="0"/>
          <w:sz w:val="24"/>
          <w:szCs w:val="20"/>
        </w:rPr>
        <w:t xml:space="preserve"> </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w:t>
      </w:r>
      <w:r w:rsidRPr="005B44B9">
        <w:rPr>
          <w:rFonts w:cs="Calibri" w:hint="eastAsia"/>
          <w:kern w:val="0"/>
          <w:sz w:val="24"/>
          <w:szCs w:val="20"/>
        </w:rPr>
        <w:t>1</w:t>
      </w:r>
      <w:r w:rsidRPr="005B44B9">
        <w:rPr>
          <w:rFonts w:cs="Calibri" w:hint="eastAsia"/>
          <w:kern w:val="0"/>
          <w:sz w:val="24"/>
          <w:szCs w:val="20"/>
        </w:rPr>
        <w:t>、以上采购需求不指向任何一种品牌或供应商，★项技术参数为重要技术指标，有</w:t>
      </w:r>
      <w:r w:rsidRPr="005B44B9">
        <w:rPr>
          <w:rFonts w:cs="Calibri" w:hint="eastAsia"/>
          <w:kern w:val="0"/>
          <w:sz w:val="24"/>
          <w:szCs w:val="20"/>
        </w:rPr>
        <w:t>1</w:t>
      </w:r>
      <w:r w:rsidRPr="005B44B9">
        <w:rPr>
          <w:rFonts w:cs="Calibri" w:hint="eastAsia"/>
          <w:kern w:val="0"/>
          <w:sz w:val="24"/>
          <w:szCs w:val="20"/>
        </w:rPr>
        <w:t>项不满足按报价无效处理。</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2</w:t>
      </w:r>
      <w:r w:rsidRPr="005B44B9">
        <w:rPr>
          <w:rFonts w:cs="Calibri" w:hint="eastAsia"/>
          <w:kern w:val="0"/>
          <w:sz w:val="24"/>
          <w:szCs w:val="20"/>
        </w:rPr>
        <w:t>、供应商应按己方所报价货物的实际技术参数填写，如经评标委员会发现未按所投产品品牌的实际技术参数进行应答，而是完全复制采购文件的技术参数，与所投品牌的实际技术参数不符的，按报价无效处理。技术偏离表中“响应文件响应情况”应如实填写，并与“采购文件技术要求”一一对应，如简单填写“响应”或“完全响应”报价无效。</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3</w:t>
      </w:r>
      <w:r w:rsidRPr="005B44B9">
        <w:rPr>
          <w:rFonts w:cs="Calibri" w:hint="eastAsia"/>
          <w:kern w:val="0"/>
          <w:sz w:val="24"/>
          <w:szCs w:val="20"/>
        </w:rPr>
        <w:t>、技术偏离表中须明确品牌、规格，否则报价无效。</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4</w:t>
      </w:r>
      <w:r w:rsidRPr="005B44B9">
        <w:rPr>
          <w:rFonts w:cs="Calibri" w:hint="eastAsia"/>
          <w:kern w:val="0"/>
          <w:sz w:val="24"/>
          <w:szCs w:val="20"/>
        </w:rPr>
        <w:t>、报价产品的各项技术指标不能低于国家强制性标准，否则报价无效。</w:t>
      </w:r>
    </w:p>
    <w:p w:rsidR="005B44B9" w:rsidRPr="005B44B9" w:rsidRDefault="005B44B9" w:rsidP="005B44B9">
      <w:pPr>
        <w:spacing w:line="360" w:lineRule="auto"/>
        <w:ind w:firstLineChars="177" w:firstLine="425"/>
        <w:rPr>
          <w:rFonts w:cs="Calibri"/>
          <w:kern w:val="0"/>
          <w:sz w:val="24"/>
          <w:szCs w:val="20"/>
        </w:rPr>
      </w:pPr>
      <w:r w:rsidRPr="005B44B9">
        <w:rPr>
          <w:rFonts w:cs="Calibri" w:hint="eastAsia"/>
          <w:kern w:val="0"/>
          <w:sz w:val="24"/>
          <w:szCs w:val="20"/>
        </w:rPr>
        <w:t>5</w:t>
      </w:r>
      <w:r w:rsidRPr="005B44B9">
        <w:rPr>
          <w:rFonts w:cs="Calibri" w:hint="eastAsia"/>
          <w:kern w:val="0"/>
          <w:sz w:val="24"/>
          <w:szCs w:val="20"/>
        </w:rPr>
        <w:t>、所投产品中如要求安装软件，应提供正版软件，否则报价无效。</w:t>
      </w:r>
    </w:p>
    <w:p w:rsidR="00623E6C" w:rsidRDefault="00623E6C">
      <w:pPr>
        <w:pStyle w:val="a3"/>
        <w:ind w:firstLine="0"/>
      </w:pPr>
    </w:p>
    <w:sectPr w:rsidR="00623E6C" w:rsidSect="00623E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E6C" w:rsidRDefault="00623E6C" w:rsidP="00623E6C">
      <w:r>
        <w:separator/>
      </w:r>
    </w:p>
  </w:endnote>
  <w:endnote w:type="continuationSeparator" w:id="0">
    <w:p w:rsidR="00623E6C" w:rsidRDefault="00623E6C" w:rsidP="00623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Book Antiqua">
    <w:charset w:val="00"/>
    <w:family w:val="roman"/>
    <w:pitch w:val="default"/>
    <w:sig w:usb0="00000287" w:usb1="00000000" w:usb2="00000000" w:usb3="00000000" w:csb0="2000009F" w:csb1="DFD7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E6C" w:rsidRDefault="00623E6C" w:rsidP="00623E6C">
      <w:r>
        <w:separator/>
      </w:r>
    </w:p>
  </w:footnote>
  <w:footnote w:type="continuationSeparator" w:id="0">
    <w:p w:rsidR="00623E6C" w:rsidRDefault="00623E6C" w:rsidP="00623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6C" w:rsidRDefault="00623E6C">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decimal"/>
      <w:pStyle w:val="3"/>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0MjY2OWI4YjlhZTdhZjNhODg5NDQ2MjQyOTRhNTIifQ=="/>
  </w:docVars>
  <w:rsids>
    <w:rsidRoot w:val="00D75BEC"/>
    <w:rsid w:val="004521F3"/>
    <w:rsid w:val="00495663"/>
    <w:rsid w:val="004E7315"/>
    <w:rsid w:val="005B44B9"/>
    <w:rsid w:val="00623E6C"/>
    <w:rsid w:val="006E6708"/>
    <w:rsid w:val="00864675"/>
    <w:rsid w:val="00D75BEC"/>
    <w:rsid w:val="073F18B0"/>
    <w:rsid w:val="16A31AE7"/>
    <w:rsid w:val="1A2D3422"/>
    <w:rsid w:val="220D2CF0"/>
    <w:rsid w:val="221A4D49"/>
    <w:rsid w:val="287369B7"/>
    <w:rsid w:val="28DE559B"/>
    <w:rsid w:val="2EC2666F"/>
    <w:rsid w:val="321D3448"/>
    <w:rsid w:val="36F52F5D"/>
    <w:rsid w:val="40BE3E26"/>
    <w:rsid w:val="48A00216"/>
    <w:rsid w:val="5895711B"/>
    <w:rsid w:val="5D7F698B"/>
    <w:rsid w:val="5E7D6FE8"/>
    <w:rsid w:val="61560803"/>
    <w:rsid w:val="68CA04B1"/>
    <w:rsid w:val="74632EFA"/>
    <w:rsid w:val="75E5618F"/>
    <w:rsid w:val="78C1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rsid w:val="00623E6C"/>
    <w:pPr>
      <w:widowControl w:val="0"/>
      <w:jc w:val="both"/>
    </w:pPr>
    <w:rPr>
      <w:rFonts w:ascii="Times New Roman" w:hAnsi="Times New Roman"/>
      <w:kern w:val="2"/>
      <w:sz w:val="21"/>
      <w:szCs w:val="24"/>
    </w:rPr>
  </w:style>
  <w:style w:type="paragraph" w:styleId="1">
    <w:name w:val="heading 1"/>
    <w:basedOn w:val="a"/>
    <w:next w:val="a"/>
    <w:qFormat/>
    <w:rsid w:val="00623E6C"/>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
    <w:next w:val="a"/>
    <w:uiPriority w:val="9"/>
    <w:qFormat/>
    <w:rsid w:val="00623E6C"/>
    <w:pPr>
      <w:keepNext/>
      <w:keepLines/>
      <w:outlineLvl w:val="1"/>
    </w:pPr>
    <w:rPr>
      <w:rFonts w:ascii="Arial" w:eastAsia="黑体" w:hAnsi="Arial"/>
      <w:bCs/>
      <w:sz w:val="28"/>
      <w:szCs w:val="32"/>
    </w:rPr>
  </w:style>
  <w:style w:type="paragraph" w:styleId="3">
    <w:name w:val="heading 3"/>
    <w:basedOn w:val="a"/>
    <w:next w:val="a"/>
    <w:qFormat/>
    <w:rsid w:val="00623E6C"/>
    <w:pPr>
      <w:keepNext/>
      <w:keepLines/>
      <w:numPr>
        <w:ilvl w:val="2"/>
        <w:numId w:val="1"/>
      </w:numPr>
      <w:spacing w:before="260" w:after="260" w:line="413"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rsid w:val="00623E6C"/>
    <w:pPr>
      <w:widowControl w:val="0"/>
      <w:jc w:val="both"/>
    </w:pPr>
    <w:rPr>
      <w:rFonts w:ascii="Times New Roman" w:hAnsi="Times New Roman"/>
      <w:kern w:val="2"/>
      <w:sz w:val="21"/>
      <w:szCs w:val="24"/>
    </w:rPr>
  </w:style>
  <w:style w:type="paragraph" w:styleId="a3">
    <w:name w:val="Normal Indent"/>
    <w:basedOn w:val="a"/>
    <w:qFormat/>
    <w:rsid w:val="00623E6C"/>
    <w:pPr>
      <w:spacing w:line="360" w:lineRule="auto"/>
      <w:ind w:firstLine="420"/>
    </w:pPr>
    <w:rPr>
      <w:rFonts w:ascii="Calibri" w:hAnsi="Calibri"/>
      <w:sz w:val="24"/>
      <w:szCs w:val="20"/>
    </w:rPr>
  </w:style>
  <w:style w:type="paragraph" w:styleId="a4">
    <w:name w:val="Body Text"/>
    <w:basedOn w:val="a"/>
    <w:qFormat/>
    <w:rsid w:val="00623E6C"/>
    <w:pPr>
      <w:widowControl/>
      <w:jc w:val="left"/>
    </w:pPr>
    <w:rPr>
      <w:rFonts w:ascii="宋体" w:hAnsi="宋体"/>
      <w:b/>
      <w:bCs/>
      <w:sz w:val="24"/>
      <w:szCs w:val="20"/>
    </w:rPr>
  </w:style>
  <w:style w:type="paragraph" w:styleId="a5">
    <w:name w:val="Body Text Indent"/>
    <w:basedOn w:val="a"/>
    <w:qFormat/>
    <w:rsid w:val="00623E6C"/>
    <w:pPr>
      <w:spacing w:after="120"/>
      <w:ind w:leftChars="200" w:left="420"/>
    </w:pPr>
  </w:style>
  <w:style w:type="paragraph" w:styleId="a6">
    <w:name w:val="Plain Text"/>
    <w:basedOn w:val="a"/>
    <w:next w:val="a7"/>
    <w:qFormat/>
    <w:rsid w:val="00623E6C"/>
    <w:rPr>
      <w:rFonts w:ascii="宋体"/>
      <w:kern w:val="0"/>
      <w:szCs w:val="20"/>
    </w:rPr>
  </w:style>
  <w:style w:type="paragraph" w:styleId="a7">
    <w:name w:val="Intense Quote"/>
    <w:basedOn w:val="a"/>
    <w:next w:val="a"/>
    <w:uiPriority w:val="99"/>
    <w:unhideWhenUsed/>
    <w:qFormat/>
    <w:rsid w:val="00623E6C"/>
    <w:pPr>
      <w:pBdr>
        <w:bottom w:val="single" w:sz="4" w:space="4" w:color="4F81BD"/>
      </w:pBdr>
      <w:spacing w:before="200" w:after="280"/>
      <w:ind w:left="936" w:right="936"/>
    </w:pPr>
    <w:rPr>
      <w:b/>
      <w:bCs/>
      <w:i/>
      <w:iCs/>
      <w:color w:val="4F81BD"/>
    </w:rPr>
  </w:style>
  <w:style w:type="paragraph" w:styleId="a8">
    <w:name w:val="footer"/>
    <w:basedOn w:val="a"/>
    <w:next w:val="a"/>
    <w:qFormat/>
    <w:rsid w:val="00623E6C"/>
    <w:pPr>
      <w:tabs>
        <w:tab w:val="center" w:pos="4153"/>
        <w:tab w:val="right" w:pos="8306"/>
      </w:tabs>
      <w:snapToGrid w:val="0"/>
      <w:jc w:val="left"/>
    </w:pPr>
    <w:rPr>
      <w:sz w:val="18"/>
    </w:rPr>
  </w:style>
  <w:style w:type="paragraph" w:styleId="a9">
    <w:name w:val="header"/>
    <w:basedOn w:val="a"/>
    <w:qFormat/>
    <w:rsid w:val="00623E6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623E6C"/>
    <w:pPr>
      <w:widowControl/>
      <w:spacing w:before="100" w:beforeAutospacing="1" w:after="100" w:afterAutospacing="1"/>
      <w:jc w:val="left"/>
    </w:pPr>
    <w:rPr>
      <w:rFonts w:ascii="宋体" w:hAnsi="宋体" w:cs="宋体"/>
      <w:kern w:val="0"/>
      <w:sz w:val="24"/>
    </w:rPr>
  </w:style>
  <w:style w:type="paragraph" w:styleId="ab">
    <w:name w:val="Body Text First Indent"/>
    <w:basedOn w:val="a4"/>
    <w:qFormat/>
    <w:rsid w:val="00623E6C"/>
    <w:pPr>
      <w:spacing w:line="312" w:lineRule="auto"/>
      <w:ind w:firstLine="420"/>
    </w:pPr>
    <w:rPr>
      <w:rFonts w:ascii="Times New Roman" w:hAnsi="Times New Roman"/>
      <w:szCs w:val="24"/>
    </w:rPr>
  </w:style>
  <w:style w:type="paragraph" w:styleId="20">
    <w:name w:val="Body Text First Indent 2"/>
    <w:basedOn w:val="a5"/>
    <w:next w:val="a4"/>
    <w:qFormat/>
    <w:rsid w:val="00623E6C"/>
    <w:pPr>
      <w:ind w:firstLineChars="200" w:firstLine="420"/>
    </w:pPr>
  </w:style>
  <w:style w:type="character" w:styleId="ac">
    <w:name w:val="FollowedHyperlink"/>
    <w:basedOn w:val="a0"/>
    <w:qFormat/>
    <w:rsid w:val="00623E6C"/>
    <w:rPr>
      <w:color w:val="800080"/>
      <w:u w:val="single"/>
    </w:rPr>
  </w:style>
  <w:style w:type="paragraph" w:customStyle="1" w:styleId="Default">
    <w:name w:val="Default"/>
    <w:qFormat/>
    <w:rsid w:val="00623E6C"/>
    <w:pPr>
      <w:widowControl w:val="0"/>
      <w:autoSpaceDE w:val="0"/>
      <w:autoSpaceDN w:val="0"/>
      <w:adjustRightInd w:val="0"/>
    </w:pPr>
    <w:rPr>
      <w:rFonts w:ascii="宋体" w:hAnsi="Times New Roman" w:cs="宋体"/>
      <w:color w:val="000000"/>
      <w:sz w:val="24"/>
      <w:szCs w:val="24"/>
    </w:rPr>
  </w:style>
  <w:style w:type="paragraph" w:customStyle="1" w:styleId="10">
    <w:name w:val="列出段落1"/>
    <w:basedOn w:val="a"/>
    <w:qFormat/>
    <w:rsid w:val="00623E6C"/>
    <w:pPr>
      <w:ind w:firstLineChars="200" w:firstLine="420"/>
    </w:pPr>
  </w:style>
  <w:style w:type="paragraph" w:customStyle="1" w:styleId="21">
    <w:name w:val="列出段落2"/>
    <w:basedOn w:val="a"/>
    <w:uiPriority w:val="99"/>
    <w:unhideWhenUsed/>
    <w:qFormat/>
    <w:rsid w:val="00623E6C"/>
    <w:pPr>
      <w:ind w:firstLineChars="200" w:firstLine="420"/>
    </w:pPr>
  </w:style>
  <w:style w:type="paragraph" w:customStyle="1" w:styleId="ad">
    <w:name w:val="单位"/>
    <w:basedOn w:val="a"/>
    <w:qFormat/>
    <w:rsid w:val="00623E6C"/>
    <w:pPr>
      <w:tabs>
        <w:tab w:val="left" w:pos="6300"/>
      </w:tabs>
      <w:spacing w:line="528" w:lineRule="exact"/>
      <w:jc w:val="center"/>
    </w:pPr>
    <w:rPr>
      <w:rFonts w:ascii="等线" w:eastAsia="楷体_GB2312" w:hAnsi="等线"/>
      <w:sz w:val="30"/>
      <w:szCs w:val="30"/>
    </w:rPr>
  </w:style>
  <w:style w:type="paragraph" w:styleId="ae">
    <w:name w:val="List Paragraph"/>
    <w:basedOn w:val="a"/>
    <w:uiPriority w:val="34"/>
    <w:qFormat/>
    <w:rsid w:val="00623E6C"/>
    <w:pPr>
      <w:ind w:firstLineChars="200" w:firstLine="420"/>
    </w:pPr>
  </w:style>
  <w:style w:type="paragraph" w:customStyle="1" w:styleId="46">
    <w:name w:val="样式46"/>
    <w:basedOn w:val="a"/>
    <w:qFormat/>
    <w:rsid w:val="00623E6C"/>
    <w:pPr>
      <w:widowControl/>
      <w:adjustRightInd w:val="0"/>
      <w:spacing w:line="360" w:lineRule="auto"/>
      <w:ind w:firstLineChars="200" w:firstLine="480"/>
      <w:jc w:val="left"/>
      <w:textAlignment w:val="baseline"/>
    </w:pPr>
    <w:rPr>
      <w:rFonts w:ascii="Book Antiqua" w:hAnsi="Book Antiqua"/>
      <w:kern w:val="0"/>
      <w:sz w:val="24"/>
    </w:rPr>
  </w:style>
  <w:style w:type="paragraph" w:customStyle="1" w:styleId="30">
    <w:name w:val="列出段落3"/>
    <w:basedOn w:val="a"/>
    <w:uiPriority w:val="34"/>
    <w:qFormat/>
    <w:rsid w:val="00623E6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2471</Words>
  <Characters>155</Characters>
  <Application>Microsoft Office Word</Application>
  <DocSecurity>0</DocSecurity>
  <Lines>1</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5</cp:revision>
  <dcterms:created xsi:type="dcterms:W3CDTF">2020-07-21T01:30:00Z</dcterms:created>
  <dcterms:modified xsi:type="dcterms:W3CDTF">2023-04-18T07:19:00Z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C5402D6E1224408FA53A7CB31657F867</vt:lpwstr>
  </property>
</Properties>
</file>